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40" w:rsidRDefault="009D1B40" w:rsidP="00100F9B">
      <w:pPr>
        <w:tabs>
          <w:tab w:val="left" w:pos="142"/>
          <w:tab w:val="center" w:pos="4536"/>
          <w:tab w:val="left" w:pos="5040"/>
          <w:tab w:val="right" w:pos="8931"/>
        </w:tabs>
        <w:spacing w:line="360" w:lineRule="atLeast"/>
        <w:jc w:val="center"/>
        <w:rPr>
          <w:b/>
        </w:rPr>
      </w:pPr>
      <w:r>
        <w:rPr>
          <w:noProof/>
        </w:rPr>
        <w:pict>
          <v:group id="_x0000_s1028" style="position:absolute;left:0;text-align:left;margin-left:0;margin-top:-45pt;width:486.35pt;height:153pt;z-index:-251652608" coordorigin="1134,522" coordsize="9727,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1134;top:522;width:9694;height:3060">
              <v:imagedata r:id="rId6" o:title=""/>
            </v:shape>
            <v:shapetype id="_x0000_t202" coordsize="21600,21600" o:spt="202" path="m,l,21600r21600,l21600,xe">
              <v:stroke joinstyle="miter"/>
              <v:path gradientshapeok="t" o:connecttype="rect"/>
            </v:shapetype>
            <v:shape id="_x0000_s1030" type="#_x0000_t202" style="position:absolute;left:7974;top:1598;width:2887;height:720" filled="f" stroked="f">
              <v:textbox style="mso-next-textbox:#_x0000_s1030">
                <w:txbxContent>
                  <w:p w:rsidR="009D1B40" w:rsidRDefault="009D1B40" w:rsidP="00100F9B">
                    <w:r>
                      <w:rPr>
                        <w:rFonts w:ascii="Verdana" w:hAnsi="Verdana"/>
                        <w:b/>
                        <w:color w:val="FFFF99"/>
                        <w:sz w:val="38"/>
                      </w:rPr>
                      <w:t>LaSemana</w:t>
                    </w:r>
                  </w:p>
                </w:txbxContent>
              </v:textbox>
            </v:shape>
          </v:group>
        </w:pict>
      </w:r>
      <w:r>
        <w:rPr>
          <w:noProof/>
        </w:rPr>
        <w:pict>
          <v:shape id="_x0000_s1031" type="#_x0000_t202" style="position:absolute;left:0;text-align:left;margin-left:27pt;margin-top:9.2pt;width:441pt;height:98.35pt;z-index:251651584" filled="f" stroked="f">
            <v:textbox style="mso-next-textbox:#_x0000_s1031;mso-fit-shape-to-text:t">
              <w:txbxContent>
                <w:p w:rsidR="009D1B40" w:rsidRDefault="009D1B40" w:rsidP="00100F9B">
                  <w:pPr>
                    <w:rPr>
                      <w:rFonts w:ascii="Verdana" w:hAnsi="Verdana"/>
                      <w:smallCaps/>
                      <w:color w:val="FFFF99"/>
                      <w:sz w:val="150"/>
                      <w:szCs w:val="138"/>
                    </w:rPr>
                  </w:pPr>
                  <w:r>
                    <w:rPr>
                      <w:rFonts w:ascii="Verdana" w:hAnsi="Verdana"/>
                      <w:color w:val="FFFF99"/>
                      <w:sz w:val="150"/>
                      <w:szCs w:val="138"/>
                    </w:rPr>
                    <w:t>e</w:t>
                  </w:r>
                  <w:r w:rsidRPr="00A5598B">
                    <w:rPr>
                      <w:rFonts w:ascii="Verdana" w:hAnsi="Verdana"/>
                      <w:color w:val="FFFFFF"/>
                      <w:sz w:val="150"/>
                      <w:szCs w:val="138"/>
                    </w:rPr>
                    <w:t>n</w:t>
                  </w:r>
                  <w:r>
                    <w:rPr>
                      <w:rFonts w:ascii="Verdana" w:hAnsi="Verdana"/>
                      <w:smallCaps/>
                      <w:color w:val="FFFF99"/>
                      <w:sz w:val="150"/>
                      <w:szCs w:val="138"/>
                    </w:rPr>
                    <w:t>B</w:t>
                  </w:r>
                  <w:r>
                    <w:rPr>
                      <w:rFonts w:ascii="Verdana" w:hAnsi="Verdana"/>
                      <w:smallCaps/>
                      <w:color w:val="FFFFFF"/>
                      <w:sz w:val="150"/>
                      <w:szCs w:val="138"/>
                    </w:rPr>
                    <w:t>ruselas</w:t>
                  </w:r>
                </w:p>
              </w:txbxContent>
            </v:textbox>
          </v:shape>
        </w:pict>
      </w:r>
    </w:p>
    <w:p w:rsidR="009D1B40" w:rsidRDefault="009D1B40" w:rsidP="00100F9B">
      <w:pPr>
        <w:tabs>
          <w:tab w:val="left" w:pos="142"/>
          <w:tab w:val="center" w:pos="4536"/>
          <w:tab w:val="right" w:pos="8931"/>
        </w:tabs>
        <w:spacing w:line="360" w:lineRule="atLeast"/>
        <w:rPr>
          <w:b/>
        </w:rPr>
      </w:pPr>
    </w:p>
    <w:p w:rsidR="009D1B40" w:rsidRDefault="009D1B40" w:rsidP="00100F9B">
      <w:pPr>
        <w:tabs>
          <w:tab w:val="left" w:pos="142"/>
          <w:tab w:val="center" w:pos="4536"/>
          <w:tab w:val="right" w:pos="8931"/>
        </w:tabs>
        <w:spacing w:line="360" w:lineRule="atLeast"/>
        <w:rPr>
          <w:b/>
        </w:rPr>
      </w:pPr>
      <w:r>
        <w:rPr>
          <w:b/>
        </w:rPr>
        <w:tab/>
      </w:r>
      <w:r>
        <w:rPr>
          <w:b/>
        </w:rPr>
        <w:tab/>
      </w:r>
    </w:p>
    <w:p w:rsidR="009D1B40" w:rsidRDefault="009D1B40" w:rsidP="00100F9B">
      <w:pPr>
        <w:tabs>
          <w:tab w:val="left" w:pos="142"/>
          <w:tab w:val="center" w:pos="4536"/>
          <w:tab w:val="right" w:pos="8931"/>
        </w:tabs>
        <w:spacing w:line="360" w:lineRule="atLeast"/>
        <w:rPr>
          <w:b/>
        </w:rPr>
      </w:pPr>
    </w:p>
    <w:p w:rsidR="009D1B40" w:rsidRDefault="009D1B40" w:rsidP="00100F9B">
      <w:pPr>
        <w:tabs>
          <w:tab w:val="left" w:pos="142"/>
          <w:tab w:val="center" w:pos="4536"/>
          <w:tab w:val="right" w:pos="8931"/>
        </w:tabs>
        <w:spacing w:line="360" w:lineRule="atLeast"/>
        <w:jc w:val="center"/>
        <w:rPr>
          <w:b/>
        </w:rPr>
      </w:pPr>
    </w:p>
    <w:p w:rsidR="009D1B40" w:rsidRDefault="009D1B40" w:rsidP="00100F9B">
      <w:pPr>
        <w:tabs>
          <w:tab w:val="left" w:pos="142"/>
          <w:tab w:val="center" w:pos="4536"/>
          <w:tab w:val="right" w:pos="8931"/>
        </w:tabs>
        <w:spacing w:line="360" w:lineRule="atLeast"/>
        <w:jc w:val="center"/>
        <w:rPr>
          <w:b/>
        </w:rPr>
      </w:pPr>
    </w:p>
    <w:p w:rsidR="009D1B40" w:rsidRPr="002B5176" w:rsidRDefault="009D1B40" w:rsidP="00100F9B">
      <w:pPr>
        <w:spacing w:before="60"/>
        <w:jc w:val="center"/>
        <w:rPr>
          <w:rFonts w:ascii="Verdana" w:hAnsi="Verdana"/>
          <w:b/>
          <w:color w:val="333399"/>
        </w:rPr>
      </w:pPr>
      <w:r w:rsidRPr="002B5176">
        <w:rPr>
          <w:rFonts w:ascii="Verdana" w:hAnsi="Verdana"/>
          <w:b/>
          <w:color w:val="333399"/>
        </w:rPr>
        <w:t xml:space="preserve">SELECCIÓN DE TEXTOS, DECISIONES E INFORMACIONES DE </w:t>
      </w:r>
      <w:smartTag w:uri="urn:schemas-microsoft-com:office:smarttags" w:element="PersonName">
        <w:smartTagPr>
          <w:attr w:name="ProductID" w:val="la UE"/>
        </w:smartTagPr>
        <w:r w:rsidRPr="002B5176">
          <w:rPr>
            <w:rFonts w:ascii="Verdana" w:hAnsi="Verdana"/>
            <w:b/>
            <w:color w:val="333399"/>
          </w:rPr>
          <w:t>LA UE</w:t>
        </w:r>
      </w:smartTag>
    </w:p>
    <w:p w:rsidR="009D1B40" w:rsidRPr="002B5176" w:rsidRDefault="009D1B40" w:rsidP="00100F9B">
      <w:pPr>
        <w:tabs>
          <w:tab w:val="left" w:pos="142"/>
          <w:tab w:val="center" w:pos="4536"/>
          <w:tab w:val="right" w:pos="8931"/>
        </w:tabs>
        <w:spacing w:line="360" w:lineRule="atLeast"/>
        <w:jc w:val="center"/>
        <w:rPr>
          <w:rFonts w:ascii="Verdana" w:hAnsi="Verdana"/>
          <w:i/>
          <w:sz w:val="20"/>
          <w:szCs w:val="20"/>
        </w:rPr>
      </w:pPr>
      <w:r>
        <w:rPr>
          <w:noProof/>
        </w:rPr>
        <w:pict>
          <v:line id="_x0000_s1032" style="position:absolute;left:0;text-align:left;z-index:251652608" from="2.65pt,10.6pt" to="2.65pt,433.6pt" strokecolor="#69f" strokeweight="1.5pt"/>
        </w:pict>
      </w:r>
      <w:r w:rsidRPr="002B5176">
        <w:rPr>
          <w:rFonts w:ascii="Verdana" w:hAnsi="Verdana"/>
          <w:i/>
          <w:sz w:val="20"/>
          <w:szCs w:val="20"/>
        </w:rPr>
        <w:t>Del</w:t>
      </w:r>
      <w:r>
        <w:rPr>
          <w:rFonts w:ascii="Verdana" w:hAnsi="Verdana"/>
          <w:i/>
          <w:sz w:val="20"/>
          <w:szCs w:val="20"/>
        </w:rPr>
        <w:t xml:space="preserve"> 26 al 31 de Octubre de 2013</w:t>
      </w:r>
    </w:p>
    <w:p w:rsidR="009D1B40" w:rsidRDefault="009D1B40" w:rsidP="00100F9B">
      <w:pPr>
        <w:jc w:val="center"/>
        <w:rPr>
          <w:b/>
        </w:rPr>
      </w:pPr>
    </w:p>
    <w:p w:rsidR="009D1B40" w:rsidRDefault="009D1B40" w:rsidP="00100F9B"/>
    <w:p w:rsidR="009D1B40" w:rsidRDefault="009D1B40" w:rsidP="00100F9B">
      <w:pPr>
        <w:jc w:val="center"/>
        <w:rPr>
          <w:rFonts w:ascii="Verdana" w:hAnsi="Verdana"/>
          <w:b/>
          <w:smallCaps/>
          <w:color w:val="999999"/>
          <w:sz w:val="32"/>
        </w:rPr>
      </w:pPr>
      <w:r>
        <w:rPr>
          <w:rFonts w:ascii="Verdana" w:hAnsi="Verdana"/>
          <w:b/>
          <w:smallCaps/>
          <w:color w:val="000080"/>
          <w:sz w:val="32"/>
        </w:rPr>
        <w:t>E</w:t>
      </w:r>
      <w:r w:rsidRPr="005F74E7">
        <w:rPr>
          <w:rFonts w:ascii="Verdana" w:hAnsi="Verdana"/>
          <w:b/>
          <w:smallCaps/>
          <w:color w:val="999999"/>
          <w:sz w:val="32"/>
        </w:rPr>
        <w:t>n</w:t>
      </w:r>
      <w:r>
        <w:rPr>
          <w:rFonts w:ascii="Verdana" w:hAnsi="Verdana"/>
          <w:b/>
          <w:smallCaps/>
          <w:color w:val="000080"/>
          <w:sz w:val="32"/>
        </w:rPr>
        <w:t>P</w:t>
      </w:r>
      <w:r w:rsidRPr="005F74E7">
        <w:rPr>
          <w:rFonts w:ascii="Verdana" w:hAnsi="Verdana"/>
          <w:b/>
          <w:smallCaps/>
          <w:color w:val="999999"/>
          <w:sz w:val="32"/>
        </w:rPr>
        <w:t>ocas</w:t>
      </w:r>
      <w:r>
        <w:rPr>
          <w:rFonts w:ascii="Verdana" w:hAnsi="Verdana"/>
          <w:b/>
          <w:smallCaps/>
          <w:color w:val="000080"/>
          <w:sz w:val="32"/>
        </w:rPr>
        <w:t>L</w:t>
      </w:r>
      <w:r w:rsidRPr="005F74E7">
        <w:rPr>
          <w:rFonts w:ascii="Verdana" w:hAnsi="Verdana"/>
          <w:b/>
          <w:smallCaps/>
          <w:color w:val="999999"/>
          <w:sz w:val="32"/>
        </w:rPr>
        <w:t>íneas</w:t>
      </w:r>
    </w:p>
    <w:p w:rsidR="009D1B40" w:rsidRDefault="009D1B40" w:rsidP="00100F9B">
      <w:pPr>
        <w:tabs>
          <w:tab w:val="left" w:pos="6804"/>
        </w:tabs>
        <w:jc w:val="center"/>
        <w:rPr>
          <w:rFonts w:ascii="Verdana" w:hAnsi="Verdana"/>
          <w:b/>
          <w:smallCaps/>
          <w:color w:val="999999"/>
          <w:sz w:val="32"/>
        </w:rPr>
      </w:pPr>
    </w:p>
    <w:p w:rsidR="009D1B40" w:rsidRDefault="009D1B40" w:rsidP="00100F9B">
      <w:pPr>
        <w:jc w:val="both"/>
        <w:rPr>
          <w:rFonts w:ascii="Verdana" w:hAnsi="Verdana"/>
          <w:b/>
          <w:smallCaps/>
          <w:color w:val="999999"/>
          <w:sz w:val="32"/>
        </w:rPr>
      </w:pPr>
    </w:p>
    <w:p w:rsidR="009D1B40" w:rsidRPr="001B0EAA" w:rsidRDefault="009D1B40" w:rsidP="00100F9B">
      <w:pPr>
        <w:pStyle w:val="TDC111"/>
      </w:pPr>
    </w:p>
    <w:p w:rsidR="009D1B40" w:rsidRPr="00ED64B9" w:rsidRDefault="009D1B40" w:rsidP="00100F9B">
      <w:pPr>
        <w:pStyle w:val="TDC111"/>
      </w:pPr>
      <w:r>
        <w:t>CAMPBELL SOUP ………..…….</w:t>
      </w:r>
      <w:r w:rsidRPr="00ED64B9">
        <w:t>..……….......…….......…..2</w:t>
      </w:r>
    </w:p>
    <w:p w:rsidR="009D1B40" w:rsidRPr="00ED64B9" w:rsidRDefault="009D1B40" w:rsidP="00100F9B">
      <w:pPr>
        <w:pStyle w:val="TDC111"/>
      </w:pPr>
      <w:r>
        <w:t>NOTA INFORMATIVA CEDEFOP………………………….</w:t>
      </w:r>
      <w:r w:rsidRPr="00ED64B9">
        <w:t>.2</w:t>
      </w:r>
    </w:p>
    <w:p w:rsidR="009D1B40" w:rsidRPr="00ED64B9" w:rsidRDefault="009D1B40" w:rsidP="00100F9B">
      <w:pPr>
        <w:pStyle w:val="TDC111"/>
      </w:pPr>
      <w:r>
        <w:t>FACEBOOK………………………………….</w:t>
      </w:r>
      <w:r w:rsidRPr="00ED64B9">
        <w:t>……........…..…2</w:t>
      </w:r>
    </w:p>
    <w:p w:rsidR="009D1B40" w:rsidRPr="00ED64B9" w:rsidRDefault="009D1B40" w:rsidP="00100F9B">
      <w:pPr>
        <w:pStyle w:val="TDC111"/>
      </w:pPr>
      <w:r>
        <w:t>DIRECTRICES PRACTICAS IVA…...</w:t>
      </w:r>
      <w:r w:rsidRPr="00ED64B9">
        <w:t>……….….…….........2</w:t>
      </w:r>
    </w:p>
    <w:p w:rsidR="009D1B40" w:rsidRPr="00ED64B9" w:rsidRDefault="009D1B40" w:rsidP="00100F9B">
      <w:pPr>
        <w:pStyle w:val="TDC111"/>
      </w:pPr>
      <w:r>
        <w:t>PRESUPUESTOS.………………………………………</w:t>
      </w:r>
      <w:r w:rsidRPr="00ED64B9">
        <w:t>…...2</w:t>
      </w:r>
    </w:p>
    <w:p w:rsidR="009D1B40" w:rsidRPr="00ED64B9" w:rsidRDefault="009D1B40" w:rsidP="00100F9B">
      <w:pPr>
        <w:pStyle w:val="TDC111"/>
      </w:pPr>
      <w:r>
        <w:t>PESCA…………………………………………..…….............2</w:t>
      </w:r>
    </w:p>
    <w:p w:rsidR="009D1B40" w:rsidRDefault="009D1B40" w:rsidP="00100F9B">
      <w:pPr>
        <w:pStyle w:val="TDC111"/>
      </w:pPr>
    </w:p>
    <w:p w:rsidR="009D1B40" w:rsidRDefault="009D1B40" w:rsidP="00100F9B">
      <w:pPr>
        <w:pStyle w:val="TDC111"/>
      </w:pPr>
    </w:p>
    <w:p w:rsidR="009D1B40" w:rsidRPr="009B633C" w:rsidRDefault="009D1B40" w:rsidP="00100F9B">
      <w:pPr>
        <w:pStyle w:val="TDC111"/>
      </w:pPr>
    </w:p>
    <w:p w:rsidR="009D1B40" w:rsidRDefault="009D1B40" w:rsidP="00100F9B">
      <w:pPr>
        <w:jc w:val="center"/>
        <w:rPr>
          <w:rFonts w:ascii="Verdana" w:hAnsi="Verdana"/>
          <w:b/>
          <w:smallCaps/>
          <w:color w:val="000080"/>
          <w:sz w:val="32"/>
        </w:rPr>
      </w:pPr>
      <w:r>
        <w:rPr>
          <w:noProof/>
        </w:rPr>
        <w:pict>
          <v:line id="_x0000_s1033" style="position:absolute;left:0;text-align:left;z-index:251658752" from="-15.35pt,10.55pt" to="317.65pt,10.55pt" strokecolor="#69f" strokeweight="1.5pt"/>
        </w:pict>
      </w:r>
    </w:p>
    <w:p w:rsidR="009D1B40" w:rsidRDefault="009D1B40" w:rsidP="00100F9B">
      <w:pPr>
        <w:tabs>
          <w:tab w:val="left" w:pos="6804"/>
        </w:tabs>
        <w:jc w:val="center"/>
        <w:rPr>
          <w:rFonts w:ascii="Verdana" w:hAnsi="Verdana"/>
          <w:b/>
          <w:smallCaps/>
          <w:color w:val="000080"/>
          <w:sz w:val="32"/>
        </w:rPr>
      </w:pPr>
    </w:p>
    <w:p w:rsidR="009D1B40" w:rsidRDefault="009D1B40" w:rsidP="00100F9B">
      <w:pPr>
        <w:jc w:val="center"/>
        <w:rPr>
          <w:rFonts w:ascii="Verdana" w:hAnsi="Verdana"/>
          <w:sz w:val="32"/>
        </w:rPr>
      </w:pPr>
      <w:r>
        <w:rPr>
          <w:noProof/>
        </w:rPr>
        <w:pict>
          <v:line id="_x0000_s1034" style="position:absolute;left:0;text-align:left;z-index:251659776" from="-15.35pt,-19.75pt" to="317.65pt,-19.75pt" strokecolor="#69f" strokeweight="1.5pt"/>
        </w:pict>
      </w:r>
      <w:r>
        <w:rPr>
          <w:rFonts w:ascii="Verdana" w:hAnsi="Verdana"/>
          <w:b/>
          <w:smallCaps/>
          <w:color w:val="000080"/>
          <w:sz w:val="32"/>
        </w:rPr>
        <w:t>C</w:t>
      </w:r>
      <w:r>
        <w:rPr>
          <w:rFonts w:ascii="Verdana" w:hAnsi="Verdana"/>
          <w:b/>
          <w:smallCaps/>
          <w:color w:val="999999"/>
          <w:sz w:val="32"/>
        </w:rPr>
        <w:t>on</w:t>
      </w:r>
      <w:r>
        <w:rPr>
          <w:rFonts w:ascii="Verdana" w:hAnsi="Verdana"/>
          <w:b/>
          <w:smallCaps/>
          <w:color w:val="000080"/>
          <w:sz w:val="32"/>
        </w:rPr>
        <w:t>M</w:t>
      </w:r>
      <w:r>
        <w:rPr>
          <w:rFonts w:ascii="Verdana" w:hAnsi="Verdana"/>
          <w:b/>
          <w:smallCaps/>
          <w:color w:val="999999"/>
          <w:sz w:val="32"/>
        </w:rPr>
        <w:t>á</w:t>
      </w:r>
      <w:r w:rsidRPr="005F74E7">
        <w:rPr>
          <w:rFonts w:ascii="Verdana" w:hAnsi="Verdana"/>
          <w:b/>
          <w:smallCaps/>
          <w:color w:val="999999"/>
          <w:sz w:val="32"/>
        </w:rPr>
        <w:t>s</w:t>
      </w:r>
      <w:r>
        <w:rPr>
          <w:rFonts w:ascii="Verdana" w:hAnsi="Verdana"/>
          <w:b/>
          <w:smallCaps/>
          <w:color w:val="000080"/>
          <w:sz w:val="32"/>
        </w:rPr>
        <w:t>D</w:t>
      </w:r>
      <w:r w:rsidRPr="005F74E7">
        <w:rPr>
          <w:rFonts w:ascii="Verdana" w:hAnsi="Verdana"/>
          <w:b/>
          <w:smallCaps/>
          <w:color w:val="999999"/>
          <w:sz w:val="32"/>
        </w:rPr>
        <w:t>etalle</w:t>
      </w:r>
    </w:p>
    <w:p w:rsidR="009D1B40" w:rsidRDefault="009D1B40" w:rsidP="00100F9B">
      <w:pPr>
        <w:tabs>
          <w:tab w:val="left" w:pos="6804"/>
        </w:tabs>
        <w:jc w:val="center"/>
        <w:rPr>
          <w:i/>
          <w:iCs/>
          <w:sz w:val="16"/>
          <w:lang w:val="es-ES_tradnl"/>
        </w:rPr>
      </w:pPr>
    </w:p>
    <w:p w:rsidR="009D1B40" w:rsidRPr="00C92B7E" w:rsidRDefault="009D1B40" w:rsidP="00100F9B">
      <w:pPr>
        <w:pStyle w:val="TDC111"/>
      </w:pPr>
      <w:r>
        <w:t>Politica Agricola……………………………………………..3</w:t>
      </w:r>
    </w:p>
    <w:p w:rsidR="009D1B40" w:rsidRPr="00B661CE" w:rsidRDefault="009D1B40" w:rsidP="00100F9B">
      <w:pPr>
        <w:jc w:val="center"/>
        <w:rPr>
          <w:rFonts w:ascii="Verdana" w:hAnsi="Verdana"/>
          <w:b/>
          <w:smallCaps/>
          <w:color w:val="000080"/>
          <w:sz w:val="32"/>
          <w:lang w:val="es-ES_tradnl"/>
        </w:rPr>
      </w:pPr>
    </w:p>
    <w:p w:rsidR="009D1B40" w:rsidRDefault="009D1B40" w:rsidP="00100F9B">
      <w:pPr>
        <w:jc w:val="center"/>
        <w:rPr>
          <w:i/>
          <w:iCs/>
          <w:sz w:val="16"/>
          <w:lang w:val="es-ES_tradnl"/>
        </w:rPr>
      </w:pPr>
      <w:r>
        <w:rPr>
          <w:noProof/>
        </w:rPr>
        <w:pict>
          <v:line id="_x0000_s1035" style="position:absolute;left:0;text-align:left;z-index:251653632" from="-51.35pt,7.6pt" to="281.65pt,7.6pt" strokecolor="#69f" strokeweight="1.5pt"/>
        </w:pict>
      </w:r>
    </w:p>
    <w:p w:rsidR="009D1B40" w:rsidRPr="002F7F44" w:rsidRDefault="009D1B40" w:rsidP="00100F9B">
      <w:pPr>
        <w:jc w:val="center"/>
        <w:rPr>
          <w:rFonts w:ascii="Verdana" w:hAnsi="Verdana"/>
          <w:b/>
          <w:smallCaps/>
          <w:color w:val="000080"/>
          <w:sz w:val="20"/>
          <w:szCs w:val="20"/>
        </w:rPr>
      </w:pPr>
      <w:r>
        <w:rPr>
          <w:noProof/>
        </w:rPr>
        <w:pict>
          <v:line id="_x0000_s1036" style="position:absolute;left:0;text-align:left;z-index:251657728" from="-39.35pt,10.4pt" to="293.65pt,10.4pt" strokecolor="#69f" strokeweight="1.5pt"/>
        </w:pict>
      </w:r>
    </w:p>
    <w:p w:rsidR="009D1B40" w:rsidRPr="003F0835" w:rsidRDefault="009D1B40" w:rsidP="00100F9B">
      <w:pPr>
        <w:jc w:val="center"/>
        <w:rPr>
          <w:i/>
          <w:iCs/>
        </w:rPr>
      </w:pPr>
    </w:p>
    <w:p w:rsidR="009D1B40" w:rsidRPr="000C57B2" w:rsidRDefault="009D1B40" w:rsidP="00100F9B">
      <w:pPr>
        <w:jc w:val="center"/>
        <w:rPr>
          <w:i/>
          <w:iCs/>
          <w:sz w:val="16"/>
        </w:rPr>
      </w:pPr>
    </w:p>
    <w:p w:rsidR="009D1B40" w:rsidRDefault="009D1B40" w:rsidP="00100F9B">
      <w:pPr>
        <w:jc w:val="center"/>
        <w:rPr>
          <w:rFonts w:ascii="Verdana" w:hAnsi="Verdana"/>
          <w:b/>
          <w:smallCaps/>
          <w:color w:val="999999"/>
          <w:sz w:val="32"/>
        </w:rPr>
      </w:pPr>
      <w:r>
        <w:rPr>
          <w:rFonts w:ascii="Verdana" w:hAnsi="Verdana"/>
          <w:b/>
          <w:smallCaps/>
          <w:color w:val="000080"/>
          <w:sz w:val="32"/>
        </w:rPr>
        <w:t>A</w:t>
      </w:r>
      <w:r>
        <w:rPr>
          <w:rFonts w:ascii="Verdana" w:hAnsi="Verdana"/>
          <w:b/>
          <w:smallCaps/>
          <w:color w:val="999999"/>
          <w:sz w:val="32"/>
        </w:rPr>
        <w:t>demás…</w:t>
      </w:r>
    </w:p>
    <w:p w:rsidR="009D1B40" w:rsidRPr="00ED64B9" w:rsidRDefault="009D1B40" w:rsidP="00100F9B">
      <w:pPr>
        <w:pStyle w:val="TDC111"/>
      </w:pPr>
    </w:p>
    <w:p w:rsidR="009D1B40" w:rsidRPr="00ED64B9" w:rsidRDefault="009D1B40" w:rsidP="00100F9B">
      <w:pPr>
        <w:pStyle w:val="TDC111"/>
      </w:pPr>
      <w:r w:rsidRPr="00ED64B9">
        <w:t>CONVOCATORIAS …….…………………………….......…3</w:t>
      </w:r>
    </w:p>
    <w:p w:rsidR="009D1B40" w:rsidRPr="00ED64B9" w:rsidRDefault="009D1B40" w:rsidP="00100F9B">
      <w:pPr>
        <w:pStyle w:val="TDC111"/>
      </w:pPr>
      <w:r w:rsidRPr="00ED64B9">
        <w:t>CIFRAS EUROSTAT…………………………………….…..3</w:t>
      </w:r>
    </w:p>
    <w:p w:rsidR="009D1B40" w:rsidRPr="00ED64B9" w:rsidRDefault="009D1B40" w:rsidP="00100F9B">
      <w:pPr>
        <w:pStyle w:val="TDC111"/>
      </w:pPr>
      <w:r>
        <w:t xml:space="preserve">SABER MÁS </w:t>
      </w:r>
      <w:smartTag w:uri="urn:schemas-microsoft-com:office:smarttags" w:element="PersonName">
        <w:smartTagPr>
          <w:attr w:name="ProductID" w:val="La Union"/>
        </w:smartTagPr>
        <w:smartTag w:uri="urn:schemas-microsoft-com:office:smarttags" w:element="PersonName">
          <w:smartTagPr>
            <w:attr w:name="ProductID" w:val="La Union Europea"/>
          </w:smartTagPr>
          <w:r>
            <w:t>La Union</w:t>
          </w:r>
        </w:smartTag>
        <w:r>
          <w:t xml:space="preserve"> Europea</w:t>
        </w:r>
      </w:smartTag>
      <w:r>
        <w:t xml:space="preserve"> y sus vecinos………....</w:t>
      </w:r>
      <w:r w:rsidRPr="00ED64B9">
        <w:t>..4</w:t>
      </w:r>
    </w:p>
    <w:p w:rsidR="009D1B40" w:rsidRDefault="009D1B40" w:rsidP="00100F9B">
      <w:pPr>
        <w:jc w:val="center"/>
        <w:rPr>
          <w:i/>
          <w:iCs/>
          <w:sz w:val="16"/>
          <w:lang w:val="es-ES_tradnl"/>
        </w:rPr>
      </w:pPr>
    </w:p>
    <w:p w:rsidR="009D1B40" w:rsidRDefault="009D1B40" w:rsidP="00100F9B">
      <w:pPr>
        <w:jc w:val="center"/>
        <w:rPr>
          <w:i/>
          <w:iCs/>
          <w:sz w:val="16"/>
          <w:lang w:val="es-ES_tradnl"/>
        </w:rPr>
      </w:pPr>
    </w:p>
    <w:p w:rsidR="009D1B40" w:rsidRPr="008A7B24" w:rsidRDefault="009D1B40" w:rsidP="00100F9B">
      <w:pPr>
        <w:tabs>
          <w:tab w:val="left" w:pos="6804"/>
        </w:tabs>
        <w:jc w:val="center"/>
        <w:rPr>
          <w:rFonts w:ascii="Arial" w:hAnsi="Arial" w:cs="Arial"/>
          <w:b/>
          <w:i/>
          <w:iCs/>
          <w:sz w:val="16"/>
          <w:lang w:val="es-ES_tradnl"/>
        </w:rPr>
      </w:pPr>
    </w:p>
    <w:p w:rsidR="009D1B40" w:rsidRDefault="009D1B40" w:rsidP="00100F9B">
      <w:pPr>
        <w:jc w:val="center"/>
        <w:rPr>
          <w:i/>
          <w:iCs/>
          <w:sz w:val="16"/>
          <w:lang w:val="es-ES_tradnl"/>
        </w:rPr>
      </w:pPr>
    </w:p>
    <w:p w:rsidR="009D1B40" w:rsidRDefault="009D1B40" w:rsidP="00100F9B">
      <w:pPr>
        <w:ind w:left="709" w:right="709"/>
        <w:jc w:val="center"/>
        <w:rPr>
          <w:i/>
          <w:iCs/>
          <w:sz w:val="16"/>
          <w:lang w:val="es-ES_tradnl"/>
        </w:rPr>
      </w:pPr>
    </w:p>
    <w:p w:rsidR="009D1B40" w:rsidRDefault="009D1B40" w:rsidP="00100F9B">
      <w:pPr>
        <w:ind w:left="709" w:right="709"/>
        <w:jc w:val="center"/>
        <w:rPr>
          <w:rFonts w:ascii="Arial" w:hAnsi="Arial" w:cs="Arial"/>
          <w:i/>
          <w:iCs/>
          <w:sz w:val="16"/>
          <w:lang w:val="es-ES_tradnl"/>
        </w:rPr>
      </w:pPr>
      <w:r w:rsidRPr="00A752CA">
        <w:rPr>
          <w:rFonts w:ascii="Arial" w:hAnsi="Arial" w:cs="Arial"/>
          <w:i/>
          <w:iCs/>
          <w:sz w:val="16"/>
          <w:lang w:val="es-ES_tradnl"/>
        </w:rPr>
        <w:t>Este boletín ha sido elaborado por l</w:t>
      </w:r>
      <w:r>
        <w:rPr>
          <w:rFonts w:ascii="Arial" w:hAnsi="Arial" w:cs="Arial"/>
          <w:i/>
          <w:iCs/>
          <w:sz w:val="16"/>
          <w:lang w:val="es-ES_tradnl"/>
        </w:rPr>
        <w:t>os servicios de GRUPO SOIL</w:t>
      </w:r>
      <w:r w:rsidRPr="00A752CA">
        <w:rPr>
          <w:rFonts w:ascii="Arial" w:hAnsi="Arial" w:cs="Arial"/>
          <w:i/>
          <w:iCs/>
          <w:sz w:val="16"/>
          <w:lang w:val="es-ES_tradnl"/>
        </w:rPr>
        <w:t>. Para toda información complementaria, no duden en ponerse en contacto con nosotros.</w:t>
      </w:r>
    </w:p>
    <w:p w:rsidR="009D1B40" w:rsidRPr="00024681" w:rsidRDefault="009D1B40" w:rsidP="00100F9B">
      <w:pPr>
        <w:ind w:left="709" w:right="709"/>
        <w:jc w:val="center"/>
        <w:rPr>
          <w:rFonts w:ascii="Arial" w:hAnsi="Arial" w:cs="Arial"/>
          <w:iCs/>
          <w:sz w:val="16"/>
          <w:lang w:val="en-GB"/>
        </w:rPr>
      </w:pPr>
      <w:hyperlink r:id="rId7" w:history="1">
        <w:r w:rsidRPr="00024681">
          <w:rPr>
            <w:rStyle w:val="Hyperlink"/>
            <w:rFonts w:ascii="Arial" w:hAnsi="Arial" w:cs="Arial"/>
            <w:iCs/>
            <w:sz w:val="16"/>
            <w:szCs w:val="24"/>
            <w:lang w:val="en-GB"/>
          </w:rPr>
          <w:t>http:www.gruposoil.com</w:t>
        </w:r>
      </w:hyperlink>
    </w:p>
    <w:p w:rsidR="009D1B40" w:rsidRPr="00024681" w:rsidRDefault="009D1B40" w:rsidP="00100F9B">
      <w:pPr>
        <w:jc w:val="both"/>
        <w:rPr>
          <w:rFonts w:ascii="Arial" w:hAnsi="Arial"/>
          <w:sz w:val="20"/>
          <w:szCs w:val="20"/>
          <w:lang w:val="en-GB"/>
        </w:rPr>
        <w:sectPr w:rsidR="009D1B40" w:rsidRPr="00024681" w:rsidSect="00830C44">
          <w:footerReference w:type="default" r:id="rId8"/>
          <w:pgSz w:w="11906" w:h="16838"/>
          <w:pgMar w:top="1418" w:right="1134" w:bottom="1418" w:left="1134" w:header="709" w:footer="709" w:gutter="0"/>
          <w:cols w:space="708"/>
          <w:titlePg/>
          <w:docGrid w:linePitch="360"/>
        </w:sectPr>
      </w:pPr>
      <w:r>
        <w:rPr>
          <w:noProof/>
        </w:rPr>
        <w:pict>
          <v:shape id="_x0000_s1037" type="#_x0000_t75" style="position:absolute;left:0;text-align:left;margin-left:358.3pt;margin-top:698.2pt;width:143pt;height:55.85pt;z-index:251665920;mso-position-horizontal-relative:margin;mso-position-vertical-relative:margin">
            <v:imagedata r:id="rId9" o:title=""/>
            <w10:wrap type="square" anchorx="margin" anchory="margin"/>
          </v:shape>
        </w:pict>
      </w:r>
      <w:r>
        <w:rPr>
          <w:noProof/>
        </w:rPr>
        <w:pict>
          <v:oval id="_x0000_s1038" style="position:absolute;left:0;text-align:left;margin-left:-176pt;margin-top:46.1pt;width:351pt;height:171pt;z-index:-251651584" stroked="f" strokecolor="maroon">
            <v:fill r:id="rId10" o:title="" recolor="t" rotate="t" type="frame"/>
          </v:oval>
        </w:pict>
      </w:r>
    </w:p>
    <w:p w:rsidR="009D1B40" w:rsidRPr="00024681" w:rsidRDefault="009D1B40" w:rsidP="00100F9B">
      <w:pPr>
        <w:jc w:val="center"/>
        <w:rPr>
          <w:rFonts w:ascii="Verdana" w:hAnsi="Verdana"/>
          <w:b/>
          <w:smallCaps/>
          <w:color w:val="000080"/>
          <w:sz w:val="32"/>
          <w:szCs w:val="32"/>
          <w:lang w:val="en-GB"/>
        </w:rPr>
      </w:pPr>
      <w:r>
        <w:rPr>
          <w:noProof/>
        </w:rPr>
        <w:pict>
          <v:line id="_x0000_s1040" style="position:absolute;left:0;text-align:left;z-index:251648512" from="-54pt,14.25pt" to="279pt,14.25pt" strokecolor="#69f" strokeweight="1.5pt"/>
        </w:pict>
      </w:r>
      <w:r>
        <w:rPr>
          <w:noProof/>
        </w:rPr>
        <w:pict>
          <v:line id="_x0000_s1041" style="position:absolute;left:0;text-align:left;z-index:251647488" from="-13pt,0" to="-13pt,423pt" strokecolor="#69f" strokeweight="1.5pt"/>
        </w:pict>
      </w:r>
    </w:p>
    <w:p w:rsidR="009D1B40" w:rsidRPr="000227D4" w:rsidRDefault="009D1B40" w:rsidP="00100F9B">
      <w:pPr>
        <w:jc w:val="center"/>
        <w:rPr>
          <w:rFonts w:ascii="Verdana" w:hAnsi="Verdana"/>
          <w:b/>
          <w:smallCaps/>
          <w:color w:val="999999"/>
          <w:sz w:val="32"/>
          <w:lang w:val="en-GB"/>
        </w:rPr>
      </w:pPr>
      <w:r w:rsidRPr="000227D4">
        <w:rPr>
          <w:rFonts w:ascii="Verdana" w:hAnsi="Verdana"/>
          <w:b/>
          <w:smallCaps/>
          <w:color w:val="000080"/>
          <w:sz w:val="32"/>
          <w:lang w:val="en-GB"/>
        </w:rPr>
        <w:t>E</w:t>
      </w:r>
      <w:r w:rsidRPr="000227D4">
        <w:rPr>
          <w:rFonts w:ascii="Verdana" w:hAnsi="Verdana"/>
          <w:b/>
          <w:smallCaps/>
          <w:color w:val="999999"/>
          <w:sz w:val="32"/>
          <w:lang w:val="en-GB"/>
        </w:rPr>
        <w:t>n</w:t>
      </w:r>
      <w:r w:rsidRPr="000227D4">
        <w:rPr>
          <w:rFonts w:ascii="Verdana" w:hAnsi="Verdana"/>
          <w:b/>
          <w:smallCaps/>
          <w:color w:val="000080"/>
          <w:sz w:val="32"/>
          <w:lang w:val="en-GB"/>
        </w:rPr>
        <w:t>P</w:t>
      </w:r>
      <w:r w:rsidRPr="000227D4">
        <w:rPr>
          <w:rFonts w:ascii="Verdana" w:hAnsi="Verdana"/>
          <w:b/>
          <w:smallCaps/>
          <w:color w:val="999999"/>
          <w:sz w:val="32"/>
          <w:lang w:val="en-GB"/>
        </w:rPr>
        <w:t>ocas</w:t>
      </w:r>
      <w:r w:rsidRPr="000227D4">
        <w:rPr>
          <w:rFonts w:ascii="Verdana" w:hAnsi="Verdana"/>
          <w:b/>
          <w:smallCaps/>
          <w:color w:val="000080"/>
          <w:sz w:val="32"/>
          <w:lang w:val="en-GB"/>
        </w:rPr>
        <w:t>L</w:t>
      </w:r>
      <w:r w:rsidRPr="000227D4">
        <w:rPr>
          <w:rFonts w:ascii="Verdana" w:hAnsi="Verdana"/>
          <w:b/>
          <w:smallCaps/>
          <w:color w:val="999999"/>
          <w:sz w:val="32"/>
          <w:lang w:val="en-GB"/>
        </w:rPr>
        <w:t>íneas</w:t>
      </w:r>
    </w:p>
    <w:p w:rsidR="009D1B40" w:rsidRPr="000227D4" w:rsidRDefault="009D1B40" w:rsidP="00100F9B">
      <w:pPr>
        <w:rPr>
          <w:lang w:val="en-GB"/>
        </w:rPr>
      </w:pPr>
      <w:r>
        <w:rPr>
          <w:noProof/>
        </w:rPr>
        <w:pict>
          <v:line id="_x0000_s1042" style="position:absolute;z-index:251649536" from="-36pt,6.1pt" to="351pt,6.1pt" strokecolor="#69f" strokeweight="1.5pt"/>
        </w:pict>
      </w:r>
    </w:p>
    <w:p w:rsidR="009D1B40" w:rsidRPr="000227D4" w:rsidRDefault="009D1B40" w:rsidP="00100F9B">
      <w:pPr>
        <w:rPr>
          <w:lang w:val="en-GB"/>
        </w:rPr>
        <w:sectPr w:rsidR="009D1B40" w:rsidRPr="000227D4" w:rsidSect="00830C44">
          <w:headerReference w:type="default" r:id="rId11"/>
          <w:pgSz w:w="11906" w:h="16838"/>
          <w:pgMar w:top="1418" w:right="1134" w:bottom="1418" w:left="1134" w:header="709" w:footer="709" w:gutter="0"/>
          <w:cols w:space="510" w:equalWidth="0">
            <w:col w:w="9241"/>
          </w:cols>
          <w:docGrid w:linePitch="360"/>
        </w:sectPr>
      </w:pPr>
    </w:p>
    <w:p w:rsidR="009D1B40" w:rsidRPr="000227D4" w:rsidRDefault="009D1B40" w:rsidP="00100F9B">
      <w:pPr>
        <w:pStyle w:val="Titulot11"/>
        <w:jc w:val="both"/>
        <w:rPr>
          <w:lang w:val="en-GB"/>
        </w:rPr>
      </w:pPr>
    </w:p>
    <w:p w:rsidR="009D1B40" w:rsidRPr="000227D4" w:rsidRDefault="009D1B40" w:rsidP="00100F9B">
      <w:pPr>
        <w:pStyle w:val="Titulot11"/>
        <w:jc w:val="both"/>
        <w:rPr>
          <w:lang w:val="en-GB"/>
        </w:rPr>
      </w:pPr>
      <w:smartTag w:uri="urn:schemas-microsoft-com:office:smarttags" w:element="place">
        <w:smartTag w:uri="urn:schemas-microsoft-com:office:smarttags" w:element="City">
          <w:r w:rsidRPr="000227D4">
            <w:rPr>
              <w:lang w:val="en-GB"/>
            </w:rPr>
            <w:t>CAMPBELL</w:t>
          </w:r>
        </w:smartTag>
      </w:smartTag>
      <w:r w:rsidRPr="000227D4">
        <w:rPr>
          <w:lang w:val="en-GB"/>
        </w:rPr>
        <w:t xml:space="preserve"> SOUP</w:t>
      </w:r>
    </w:p>
    <w:p w:rsidR="009D1B40" w:rsidRDefault="009D1B40" w:rsidP="00100F9B">
      <w:pPr>
        <w:jc w:val="both"/>
        <w:rPr>
          <w:rFonts w:ascii="Arial" w:hAnsi="Arial" w:cs="Arial"/>
          <w:bCs/>
          <w:sz w:val="20"/>
          <w:szCs w:val="20"/>
        </w:rPr>
      </w:pPr>
      <w:smartTag w:uri="urn:schemas-microsoft-com:office:smarttags" w:element="PersonName">
        <w:smartTag w:uri="urn:schemas-microsoft-com:office:smarttags" w:element="PersonName">
          <w:smartTagPr>
            <w:attr w:name="ProductID" w:val="La Comisi￳n"/>
          </w:smartTagPr>
          <w:r>
            <w:rPr>
              <w:rFonts w:ascii="Arial" w:hAnsi="Arial" w:cs="Arial"/>
              <w:bCs/>
              <w:sz w:val="20"/>
              <w:szCs w:val="20"/>
            </w:rPr>
            <w:t>La Comisión</w:t>
          </w:r>
        </w:smartTag>
        <w:r>
          <w:rPr>
            <w:rFonts w:ascii="Arial" w:hAnsi="Arial" w:cs="Arial"/>
            <w:bCs/>
            <w:sz w:val="20"/>
            <w:szCs w:val="20"/>
          </w:rPr>
          <w:t xml:space="preserve"> Europea</w:t>
        </w:r>
      </w:smartTag>
      <w:r>
        <w:rPr>
          <w:rFonts w:ascii="Arial" w:hAnsi="Arial" w:cs="Arial"/>
          <w:bCs/>
          <w:sz w:val="20"/>
          <w:szCs w:val="20"/>
        </w:rPr>
        <w:t xml:space="preserve"> ha autorizado la adquisición de determinadas filiales europeas de Campbell Soup por CVC de Luxemburgo. Campbell Soup produce y comercializa diversos tipos de alimentos envasados incluyendo sopas de secado instantáneo. CVC a través de sus fondos de inversión  gestiona diversos sectores de la economía incluyendo  la venta al por menor y la distribución de varios productos. Una de las empresas de CVC es Autobar que a través de sus maquinas vendedoras también vende  sopas de secado instantáneo. </w:t>
      </w:r>
    </w:p>
    <w:p w:rsidR="009D1B40" w:rsidRDefault="009D1B40" w:rsidP="00100F9B">
      <w:pPr>
        <w:jc w:val="both"/>
        <w:rPr>
          <w:rFonts w:ascii="Arial" w:hAnsi="Arial" w:cs="Arial"/>
          <w:bCs/>
          <w:sz w:val="20"/>
          <w:szCs w:val="20"/>
        </w:rPr>
      </w:pPr>
      <w:smartTag w:uri="urn:schemas-microsoft-com:office:smarttags" w:element="PersonName">
        <w:smartTagPr>
          <w:attr w:name="ProductID" w:val="La Comisión Europea"/>
        </w:smartTagPr>
        <w:r>
          <w:rPr>
            <w:rFonts w:ascii="Arial" w:hAnsi="Arial" w:cs="Arial"/>
            <w:bCs/>
            <w:sz w:val="20"/>
            <w:szCs w:val="20"/>
          </w:rPr>
          <w:t>La Comisión Europea</w:t>
        </w:r>
      </w:smartTag>
      <w:r>
        <w:rPr>
          <w:rFonts w:ascii="Arial" w:hAnsi="Arial" w:cs="Arial"/>
          <w:bCs/>
          <w:sz w:val="20"/>
          <w:szCs w:val="20"/>
        </w:rPr>
        <w:t xml:space="preserve"> examino la operación bajo el procedimiento normal de revisión de fusiones y ha concluido que la adquisición propuesta no plantearía problemas de competencia.</w:t>
      </w:r>
    </w:p>
    <w:p w:rsidR="009D1B40" w:rsidRDefault="009D1B40" w:rsidP="00100F9B">
      <w:pPr>
        <w:jc w:val="both"/>
        <w:rPr>
          <w:rFonts w:ascii="Arial" w:hAnsi="Arial" w:cs="Arial"/>
          <w:bCs/>
          <w:sz w:val="20"/>
          <w:szCs w:val="20"/>
        </w:rPr>
      </w:pPr>
    </w:p>
    <w:p w:rsidR="009D1B40" w:rsidRDefault="009D1B40" w:rsidP="00100F9B">
      <w:pPr>
        <w:jc w:val="both"/>
        <w:rPr>
          <w:rFonts w:ascii="Arial" w:hAnsi="Arial" w:cs="Arial"/>
          <w:bCs/>
          <w:sz w:val="20"/>
          <w:szCs w:val="20"/>
        </w:rPr>
      </w:pPr>
    </w:p>
    <w:p w:rsidR="009D1B40" w:rsidRDefault="009D1B40" w:rsidP="00100F9B">
      <w:pPr>
        <w:jc w:val="both"/>
        <w:rPr>
          <w:rFonts w:ascii="Arial" w:hAnsi="Arial" w:cs="Arial"/>
          <w:bCs/>
          <w:sz w:val="20"/>
          <w:szCs w:val="20"/>
        </w:rPr>
      </w:pPr>
    </w:p>
    <w:p w:rsidR="009D1B40" w:rsidRDefault="009D1B40" w:rsidP="00100F9B">
      <w:pPr>
        <w:jc w:val="both"/>
        <w:rPr>
          <w:rFonts w:ascii="Arial" w:hAnsi="Arial" w:cs="Arial"/>
          <w:b/>
          <w:bCs/>
          <w:sz w:val="20"/>
          <w:szCs w:val="20"/>
        </w:rPr>
      </w:pPr>
      <w:r>
        <w:rPr>
          <w:rFonts w:ascii="Arial" w:hAnsi="Arial" w:cs="Arial"/>
          <w:b/>
          <w:bCs/>
          <w:sz w:val="20"/>
          <w:szCs w:val="20"/>
        </w:rPr>
        <w:t>RETOMAR EL APRENDIZAJE, RETOMAR EL TRABAJO</w:t>
      </w:r>
    </w:p>
    <w:p w:rsidR="009D1B40" w:rsidRDefault="009D1B40" w:rsidP="00100F9B">
      <w:pPr>
        <w:jc w:val="both"/>
        <w:rPr>
          <w:rFonts w:ascii="Arial" w:hAnsi="Arial" w:cs="Arial"/>
          <w:bCs/>
          <w:sz w:val="20"/>
          <w:szCs w:val="20"/>
        </w:rPr>
      </w:pPr>
      <w:r>
        <w:rPr>
          <w:rFonts w:ascii="Arial" w:hAnsi="Arial" w:cs="Arial"/>
          <w:bCs/>
          <w:sz w:val="20"/>
          <w:szCs w:val="20"/>
        </w:rPr>
        <w:t xml:space="preserve">En Europa hay aproximadamente 70,7 millones de adultos considerados poco cualificados, personas de </w:t>
      </w:r>
      <w:smartTag w:uri="urn:schemas-microsoft-com:office:smarttags" w:element="metricconverter">
        <w:smartTagPr>
          <w:attr w:name="ProductID" w:val="25 a"/>
        </w:smartTagPr>
        <w:r>
          <w:rPr>
            <w:rFonts w:ascii="Arial" w:hAnsi="Arial" w:cs="Arial"/>
            <w:bCs/>
            <w:sz w:val="20"/>
            <w:szCs w:val="20"/>
          </w:rPr>
          <w:t>25 a</w:t>
        </w:r>
      </w:smartTag>
      <w:r>
        <w:rPr>
          <w:rFonts w:ascii="Arial" w:hAnsi="Arial" w:cs="Arial"/>
          <w:bCs/>
          <w:sz w:val="20"/>
          <w:szCs w:val="20"/>
        </w:rPr>
        <w:t xml:space="preserve"> 64 años que como máximo han completado la educación secundaria, y desde 2008 el aumento en la tasa de desempleo en este grupo ha sido mayor que en ningún otro. Un estudio del Centro Europeo para el desarrollo de la formación profesional (Cedefop)  ha publicado una nota informativa “Retomar el aprendizaje, retomar el Trabajo” donde analiza como los programas de aprendizaje en el puesto de trabajo debidamente orientados y diseñados permiten atender las necesidades de los adultos poco cualificados. Esta nota esta disponible en nueve lenguas y dos formatos diferentes y puede ser consultado en </w:t>
      </w:r>
      <w:hyperlink r:id="rId12" w:history="1">
        <w:r w:rsidRPr="00A305A5">
          <w:rPr>
            <w:rStyle w:val="Hyperlink"/>
            <w:rFonts w:ascii="Arial" w:hAnsi="Arial" w:cs="Arial"/>
            <w:bCs/>
            <w:sz w:val="20"/>
            <w:szCs w:val="20"/>
          </w:rPr>
          <w:t>http://www.cedefop.europa.eu/EN/publications/21952.aspx?wt.mc_id=PR20131029-ES&amp;utm_campaign=PR20131029-ES</w:t>
        </w:r>
      </w:hyperlink>
    </w:p>
    <w:p w:rsidR="009D1B40" w:rsidRDefault="009D1B40" w:rsidP="00100F9B">
      <w:pPr>
        <w:jc w:val="both"/>
        <w:rPr>
          <w:rFonts w:ascii="Arial" w:hAnsi="Arial" w:cs="Arial"/>
          <w:bCs/>
          <w:sz w:val="20"/>
          <w:szCs w:val="20"/>
        </w:rPr>
      </w:pPr>
      <w:r>
        <w:rPr>
          <w:rFonts w:ascii="Arial" w:hAnsi="Arial" w:cs="Arial"/>
          <w:bCs/>
          <w:sz w:val="20"/>
          <w:szCs w:val="20"/>
        </w:rPr>
        <w:t>.</w:t>
      </w:r>
    </w:p>
    <w:p w:rsidR="009D1B40" w:rsidRDefault="009D1B40" w:rsidP="00100F9B">
      <w:pPr>
        <w:jc w:val="both"/>
        <w:rPr>
          <w:rFonts w:ascii="Arial" w:hAnsi="Arial" w:cs="Arial"/>
          <w:bCs/>
          <w:sz w:val="20"/>
          <w:szCs w:val="20"/>
        </w:rPr>
      </w:pPr>
    </w:p>
    <w:p w:rsidR="009D1B40" w:rsidRDefault="009D1B40" w:rsidP="00100F9B">
      <w:pPr>
        <w:jc w:val="both"/>
        <w:rPr>
          <w:rFonts w:ascii="Arial" w:hAnsi="Arial" w:cs="Arial"/>
          <w:b/>
          <w:bCs/>
          <w:sz w:val="20"/>
          <w:szCs w:val="20"/>
        </w:rPr>
      </w:pPr>
      <w:r>
        <w:rPr>
          <w:rFonts w:ascii="Arial" w:hAnsi="Arial" w:cs="Arial"/>
          <w:b/>
          <w:bCs/>
          <w:sz w:val="20"/>
          <w:szCs w:val="20"/>
        </w:rPr>
        <w:t>FACEBOOK</w:t>
      </w:r>
    </w:p>
    <w:p w:rsidR="009D1B40" w:rsidRDefault="009D1B40" w:rsidP="00100F9B">
      <w:pPr>
        <w:jc w:val="both"/>
        <w:rPr>
          <w:rFonts w:ascii="Arial" w:hAnsi="Arial" w:cs="Arial"/>
          <w:bCs/>
          <w:sz w:val="20"/>
          <w:szCs w:val="20"/>
        </w:rPr>
      </w:pPr>
      <w:r>
        <w:rPr>
          <w:rFonts w:ascii="Arial" w:hAnsi="Arial" w:cs="Arial"/>
          <w:bCs/>
          <w:sz w:val="20"/>
          <w:szCs w:val="20"/>
        </w:rPr>
        <w:t xml:space="preserve">La página del Parlamento Europeo de Facebook alcanza un millón de seguidores, esto la convierte en la mayor página institucional en Europa en Facebook.  Si sumamos seguidores y amigos esta pagina tiene un alcance potencial de aproximadamente 135 millones de personas. </w:t>
      </w:r>
    </w:p>
    <w:p w:rsidR="009D1B40" w:rsidRDefault="009D1B40" w:rsidP="00100F9B">
      <w:pPr>
        <w:jc w:val="both"/>
        <w:rPr>
          <w:rFonts w:ascii="Arial" w:hAnsi="Arial" w:cs="Arial"/>
          <w:bCs/>
          <w:sz w:val="20"/>
          <w:szCs w:val="20"/>
        </w:rPr>
      </w:pPr>
      <w:r>
        <w:rPr>
          <w:rFonts w:ascii="Arial" w:hAnsi="Arial" w:cs="Arial"/>
          <w:bCs/>
          <w:sz w:val="20"/>
          <w:szCs w:val="20"/>
        </w:rPr>
        <w:t xml:space="preserve">En la página de </w:t>
      </w:r>
      <w:smartTag w:uri="urn:schemas-microsoft-com:office:smarttags" w:element="PersonName">
        <w:smartTagPr>
          <w:attr w:name="ProductID" w:val="la Eurocámara"/>
        </w:smartTagPr>
        <w:r>
          <w:rPr>
            <w:rFonts w:ascii="Arial" w:hAnsi="Arial" w:cs="Arial"/>
            <w:bCs/>
            <w:sz w:val="20"/>
            <w:szCs w:val="20"/>
          </w:rPr>
          <w:t>la Eurocámara</w:t>
        </w:r>
      </w:smartTag>
      <w:r>
        <w:rPr>
          <w:rFonts w:ascii="Arial" w:hAnsi="Arial" w:cs="Arial"/>
          <w:bCs/>
          <w:sz w:val="20"/>
          <w:szCs w:val="20"/>
        </w:rPr>
        <w:t xml:space="preserve"> sus seguidores pueden expresar sus gustos, comentar y compartir informaciones así como debatir con los eurodiputados a través de sus chats.</w:t>
      </w:r>
    </w:p>
    <w:p w:rsidR="009D1B40" w:rsidRPr="009F6269" w:rsidRDefault="009D1B40" w:rsidP="00100F9B">
      <w:pPr>
        <w:jc w:val="both"/>
        <w:rPr>
          <w:rFonts w:ascii="Arial" w:hAnsi="Arial" w:cs="Arial"/>
          <w:b/>
          <w:bCs/>
          <w:sz w:val="20"/>
          <w:szCs w:val="20"/>
        </w:rPr>
      </w:pPr>
    </w:p>
    <w:p w:rsidR="009D1B40" w:rsidRDefault="009D1B40" w:rsidP="00100F9B">
      <w:pPr>
        <w:jc w:val="both"/>
        <w:rPr>
          <w:rFonts w:ascii="Arial" w:hAnsi="Arial" w:cs="Arial"/>
          <w:b/>
          <w:bCs/>
          <w:sz w:val="20"/>
          <w:szCs w:val="20"/>
        </w:rPr>
      </w:pPr>
    </w:p>
    <w:p w:rsidR="009D1B40" w:rsidRDefault="009D1B40" w:rsidP="00100F9B">
      <w:pPr>
        <w:jc w:val="both"/>
        <w:rPr>
          <w:rFonts w:ascii="Arial" w:hAnsi="Arial" w:cs="Arial"/>
          <w:b/>
          <w:bCs/>
          <w:sz w:val="20"/>
          <w:szCs w:val="20"/>
        </w:rPr>
      </w:pPr>
      <w:r>
        <w:rPr>
          <w:rFonts w:ascii="Arial" w:hAnsi="Arial" w:cs="Arial"/>
          <w:b/>
          <w:bCs/>
          <w:sz w:val="20"/>
          <w:szCs w:val="20"/>
        </w:rPr>
        <w:t xml:space="preserve">DIRECTRICES PRÁCTICAS IVA </w:t>
      </w:r>
    </w:p>
    <w:p w:rsidR="009D1B40" w:rsidRDefault="009D1B40" w:rsidP="00100F9B">
      <w:pPr>
        <w:pStyle w:val="Titulot11"/>
        <w:jc w:val="both"/>
        <w:rPr>
          <w:b w:val="0"/>
          <w:bCs w:val="0"/>
        </w:rPr>
      </w:pPr>
      <w:smartTag w:uri="urn:schemas-microsoft-com:office:smarttags" w:element="PersonName">
        <w:smartTagPr>
          <w:attr w:name="ProductID" w:val="La Comisión Europea"/>
        </w:smartTagPr>
        <w:r w:rsidRPr="009F350D">
          <w:rPr>
            <w:b w:val="0"/>
            <w:bCs w:val="0"/>
          </w:rPr>
          <w:t>La Comisión Europea</w:t>
        </w:r>
      </w:smartTag>
      <w:r w:rsidRPr="009F350D">
        <w:rPr>
          <w:b w:val="0"/>
          <w:bCs w:val="0"/>
        </w:rPr>
        <w:t xml:space="preserve"> ha </w:t>
      </w:r>
      <w:r>
        <w:rPr>
          <w:b w:val="0"/>
          <w:bCs w:val="0"/>
        </w:rPr>
        <w:t>publicado esta semana unas directrices prácticas para ayudar a las empresas con la aplicación de las nuevas normas del IVA para telecomunicaciones y servicios electrónicos que entraran en vigor en 2015. El objetivo es preparar a las empresas con tiempo para el cambio por el cual el IVA se cargara donde el cliente este localizado en vez de donde se encuentra el vendedor.</w:t>
      </w:r>
    </w:p>
    <w:p w:rsidR="009D1B40" w:rsidRDefault="009D1B40" w:rsidP="00100F9B">
      <w:pPr>
        <w:pStyle w:val="Titulot11"/>
        <w:jc w:val="both"/>
        <w:rPr>
          <w:b w:val="0"/>
          <w:bCs w:val="0"/>
        </w:rPr>
      </w:pPr>
      <w:r>
        <w:rPr>
          <w:b w:val="0"/>
          <w:bCs w:val="0"/>
        </w:rPr>
        <w:t>Una ventanilla única permitirá que las telecomunicaciones, la radiodifusión y los servicios electrónicos de las empresas cumplan con todas sus obligaciones de IVA en todos los estados miembros en base a donde están registrados.</w:t>
      </w:r>
    </w:p>
    <w:p w:rsidR="009D1B40" w:rsidRDefault="009D1B40" w:rsidP="00100F9B">
      <w:pPr>
        <w:jc w:val="both"/>
        <w:rPr>
          <w:rFonts w:ascii="Arial" w:hAnsi="Arial" w:cs="Arial"/>
          <w:bCs/>
          <w:sz w:val="20"/>
          <w:szCs w:val="20"/>
        </w:rPr>
      </w:pPr>
    </w:p>
    <w:p w:rsidR="009D1B40" w:rsidRDefault="009D1B40" w:rsidP="00100F9B">
      <w:pPr>
        <w:jc w:val="both"/>
        <w:rPr>
          <w:rFonts w:ascii="Arial" w:hAnsi="Arial" w:cs="Arial"/>
          <w:bCs/>
          <w:sz w:val="20"/>
          <w:szCs w:val="20"/>
        </w:rPr>
      </w:pPr>
    </w:p>
    <w:p w:rsidR="009D1B40" w:rsidRDefault="009D1B40" w:rsidP="00100F9B">
      <w:pPr>
        <w:jc w:val="both"/>
        <w:rPr>
          <w:rFonts w:ascii="Arial" w:hAnsi="Arial" w:cs="Arial"/>
          <w:b/>
          <w:bCs/>
          <w:sz w:val="20"/>
          <w:szCs w:val="20"/>
        </w:rPr>
      </w:pPr>
      <w:r>
        <w:rPr>
          <w:rFonts w:ascii="Arial" w:hAnsi="Arial" w:cs="Arial"/>
          <w:b/>
          <w:bCs/>
          <w:sz w:val="20"/>
          <w:szCs w:val="20"/>
        </w:rPr>
        <w:t>PRESUPUESTOS</w:t>
      </w:r>
    </w:p>
    <w:p w:rsidR="009D1B40" w:rsidRDefault="009D1B40" w:rsidP="00100F9B">
      <w:pPr>
        <w:pStyle w:val="Titulot11"/>
        <w:jc w:val="both"/>
        <w:rPr>
          <w:b w:val="0"/>
          <w:bCs w:val="0"/>
        </w:rPr>
      </w:pPr>
      <w:r>
        <w:rPr>
          <w:b w:val="0"/>
          <w:bCs w:val="0"/>
        </w:rPr>
        <w:t xml:space="preserve">Como consecuencia del acuerdo alcanzado por el Comité de Representantes Permanentes el Consejo ha aprobado fondos adicionales para el  presupuesto de </w:t>
      </w:r>
      <w:smartTag w:uri="urn:schemas-microsoft-com:office:smarttags" w:element="PersonName">
        <w:smartTagPr>
          <w:attr w:name="ProductID" w:val="la UE"/>
        </w:smartTagPr>
        <w:r>
          <w:rPr>
            <w:b w:val="0"/>
            <w:bCs w:val="0"/>
          </w:rPr>
          <w:t>la UE</w:t>
        </w:r>
      </w:smartTag>
      <w:r>
        <w:rPr>
          <w:b w:val="0"/>
          <w:bCs w:val="0"/>
        </w:rPr>
        <w:t xml:space="preserve"> para el 2013. Los presupuestos se aumentan en 3,9 billones de euros para asegurar que se cumplen todas las obligaciones de </w:t>
      </w:r>
      <w:smartTag w:uri="urn:schemas-microsoft-com:office:smarttags" w:element="PersonName">
        <w:smartTagPr>
          <w:attr w:name="ProductID" w:val="la Unión Europea"/>
        </w:smartTagPr>
        <w:r>
          <w:rPr>
            <w:b w:val="0"/>
            <w:bCs w:val="0"/>
          </w:rPr>
          <w:t>la Unión Europea</w:t>
        </w:r>
      </w:smartTag>
      <w:r>
        <w:rPr>
          <w:b w:val="0"/>
          <w:bCs w:val="0"/>
        </w:rPr>
        <w:t xml:space="preserve"> para el año 2013.</w:t>
      </w:r>
    </w:p>
    <w:p w:rsidR="009D1B40" w:rsidRDefault="009D1B40" w:rsidP="00100F9B">
      <w:pPr>
        <w:jc w:val="both"/>
        <w:rPr>
          <w:rFonts w:ascii="Arial" w:hAnsi="Arial" w:cs="Arial"/>
          <w:bCs/>
          <w:sz w:val="20"/>
          <w:szCs w:val="20"/>
        </w:rPr>
      </w:pPr>
    </w:p>
    <w:p w:rsidR="009D1B40" w:rsidRDefault="009D1B40" w:rsidP="00100F9B">
      <w:pPr>
        <w:jc w:val="both"/>
        <w:rPr>
          <w:rFonts w:ascii="Arial" w:hAnsi="Arial" w:cs="Arial"/>
          <w:bCs/>
          <w:sz w:val="20"/>
          <w:szCs w:val="20"/>
        </w:rPr>
      </w:pPr>
    </w:p>
    <w:p w:rsidR="009D1B40" w:rsidRDefault="009D1B40" w:rsidP="00100F9B">
      <w:pPr>
        <w:pStyle w:val="Titulot11"/>
        <w:jc w:val="both"/>
      </w:pPr>
      <w:r>
        <w:t>PESCA</w:t>
      </w:r>
    </w:p>
    <w:p w:rsidR="009D1B40" w:rsidRDefault="009D1B40" w:rsidP="00100F9B">
      <w:pPr>
        <w:pStyle w:val="Titulot11"/>
        <w:jc w:val="both"/>
        <w:rPr>
          <w:b w:val="0"/>
        </w:rPr>
      </w:pPr>
      <w:smartTag w:uri="urn:schemas-microsoft-com:office:smarttags" w:element="PersonName">
        <w:smartTagPr>
          <w:attr w:name="ProductID" w:val="La Comisión Europea"/>
        </w:smartTagPr>
        <w:r>
          <w:rPr>
            <w:b w:val="0"/>
          </w:rPr>
          <w:t>La Comisión Europea</w:t>
        </w:r>
      </w:smartTag>
      <w:r>
        <w:rPr>
          <w:b w:val="0"/>
        </w:rPr>
        <w:t xml:space="preserve"> ha propuesto esta semana las posibilidades de pesca en el Atlántico y el mar del norte para el año 2014.Esta propuesta fija los niveles totales admisibles de capturas (TAC) y el esfuerzo pesquero de las poblaciones gestionadas directamente por </w:t>
      </w:r>
      <w:smartTag w:uri="urn:schemas-microsoft-com:office:smarttags" w:element="PersonName">
        <w:smartTagPr>
          <w:attr w:name="ProductID" w:val="la UE"/>
        </w:smartTagPr>
        <w:r>
          <w:rPr>
            <w:b w:val="0"/>
          </w:rPr>
          <w:t>la UE</w:t>
        </w:r>
      </w:smartTag>
      <w:r>
        <w:rPr>
          <w:b w:val="0"/>
        </w:rPr>
        <w:t xml:space="preserve"> así como las gestionadas por terceros países o através de organizaciones regionales de ordenación pesquera  en los océanos del mundo. Esta propuesta presenta las cifras referentes a la mitad de los TAC que se completaran una vez se terminen las negociaciones con terceras partes y organizaciones que todavía siguen en curso.</w:t>
      </w:r>
    </w:p>
    <w:p w:rsidR="009D1B40" w:rsidRDefault="009D1B40" w:rsidP="00100F9B">
      <w:pPr>
        <w:pStyle w:val="Titulot11"/>
        <w:jc w:val="both"/>
        <w:rPr>
          <w:b w:val="0"/>
        </w:rPr>
      </w:pPr>
      <w:r>
        <w:rPr>
          <w:b w:val="0"/>
        </w:rPr>
        <w:t xml:space="preserve">El objetivo final de </w:t>
      </w:r>
      <w:smartTag w:uri="urn:schemas-microsoft-com:office:smarttags" w:element="PersonName">
        <w:smartTagPr>
          <w:attr w:name="ProductID" w:val="La Comisión"/>
        </w:smartTagPr>
        <w:r>
          <w:rPr>
            <w:b w:val="0"/>
          </w:rPr>
          <w:t>la Comisión</w:t>
        </w:r>
      </w:smartTag>
      <w:r>
        <w:rPr>
          <w:b w:val="0"/>
        </w:rPr>
        <w:t xml:space="preserve"> es lograr que todas las poblaciones se pesquen en niveles sostenibles, el llamado rendimiento máximo sostenible (RMS).</w:t>
      </w:r>
    </w:p>
    <w:p w:rsidR="009D1B40" w:rsidRDefault="009D1B40" w:rsidP="00100F9B">
      <w:pPr>
        <w:pStyle w:val="Titulot11"/>
        <w:jc w:val="both"/>
        <w:rPr>
          <w:b w:val="0"/>
        </w:rPr>
      </w:pPr>
      <w:r>
        <w:rPr>
          <w:b w:val="0"/>
        </w:rPr>
        <w:t>Esta propuesta será debatida por los Ministros de los Estados miembros en el Consejo de Pesca en diciembre y será de aplicación a partir del 1 de enero del 2014.</w:t>
      </w:r>
    </w:p>
    <w:p w:rsidR="009D1B40" w:rsidRDefault="009D1B40" w:rsidP="00100F9B">
      <w:pPr>
        <w:pStyle w:val="Titulot11"/>
        <w:jc w:val="both"/>
        <w:rPr>
          <w:b w:val="0"/>
        </w:rPr>
      </w:pPr>
    </w:p>
    <w:p w:rsidR="009D1B40" w:rsidRDefault="009D1B40" w:rsidP="00100F9B">
      <w:pPr>
        <w:pStyle w:val="Titulot11"/>
        <w:jc w:val="both"/>
        <w:rPr>
          <w:b w:val="0"/>
        </w:rPr>
      </w:pPr>
    </w:p>
    <w:p w:rsidR="009D1B40" w:rsidRDefault="009D1B40" w:rsidP="00100F9B">
      <w:pPr>
        <w:pStyle w:val="Titulot11"/>
        <w:jc w:val="both"/>
        <w:rPr>
          <w:b w:val="0"/>
        </w:rPr>
      </w:pPr>
    </w:p>
    <w:p w:rsidR="009D1B40" w:rsidRDefault="009D1B40" w:rsidP="00100F9B">
      <w:pPr>
        <w:pStyle w:val="Titulot11"/>
        <w:jc w:val="both"/>
        <w:rPr>
          <w:b w:val="0"/>
        </w:rPr>
      </w:pPr>
    </w:p>
    <w:p w:rsidR="009D1B40" w:rsidRDefault="009D1B40" w:rsidP="00100F9B">
      <w:pPr>
        <w:pStyle w:val="Titulot11"/>
        <w:jc w:val="both"/>
        <w:rPr>
          <w:b w:val="0"/>
        </w:rPr>
      </w:pPr>
    </w:p>
    <w:p w:rsidR="009D1B40" w:rsidRDefault="009D1B40" w:rsidP="00100F9B">
      <w:pPr>
        <w:pStyle w:val="Titulot11"/>
        <w:jc w:val="both"/>
        <w:rPr>
          <w:b w:val="0"/>
        </w:rPr>
      </w:pPr>
    </w:p>
    <w:p w:rsidR="009D1B40" w:rsidRDefault="009D1B40" w:rsidP="00100F9B">
      <w:pPr>
        <w:pStyle w:val="Titulot11"/>
        <w:jc w:val="both"/>
        <w:rPr>
          <w:b w:val="0"/>
        </w:rPr>
      </w:pPr>
    </w:p>
    <w:p w:rsidR="009D1B40" w:rsidRPr="009D39DA" w:rsidRDefault="009D1B40" w:rsidP="00100F9B">
      <w:pPr>
        <w:pStyle w:val="Titulot11"/>
        <w:jc w:val="both"/>
        <w:rPr>
          <w:b w:val="0"/>
        </w:rPr>
        <w:sectPr w:rsidR="009D1B40" w:rsidRPr="009D39DA" w:rsidSect="00830C44">
          <w:type w:val="continuous"/>
          <w:pgSz w:w="11906" w:h="16838"/>
          <w:pgMar w:top="1418" w:right="1134" w:bottom="1418" w:left="1134" w:header="709" w:footer="709" w:gutter="0"/>
          <w:cols w:num="2" w:space="510"/>
          <w:docGrid w:linePitch="360"/>
        </w:sectPr>
      </w:pPr>
    </w:p>
    <w:p w:rsidR="009D1B40" w:rsidRPr="00F60A24" w:rsidRDefault="009D1B40" w:rsidP="00100F9B">
      <w:r>
        <w:rPr>
          <w:noProof/>
        </w:rPr>
        <w:pict>
          <v:line id="_x0000_s1043" style="position:absolute;z-index:251660800" from="-45pt,9.2pt" to="4in,9.2pt" strokecolor="#69f" strokeweight="1.5pt"/>
        </w:pict>
      </w:r>
      <w:r>
        <w:rPr>
          <w:noProof/>
        </w:rPr>
        <w:pict>
          <v:line id="_x0000_s1044" style="position:absolute;z-index:251662848" from="-18pt,-1.8pt" to="-18pt,571.2pt" strokecolor="#69f" strokeweight="1.5pt"/>
        </w:pict>
      </w:r>
    </w:p>
    <w:p w:rsidR="009D1B40" w:rsidRDefault="009D1B40" w:rsidP="00100F9B">
      <w:pPr>
        <w:jc w:val="center"/>
        <w:rPr>
          <w:rFonts w:ascii="Verdana" w:hAnsi="Verdana"/>
          <w:b/>
          <w:smallCaps/>
          <w:color w:val="999999"/>
          <w:sz w:val="32"/>
        </w:rPr>
      </w:pPr>
      <w:r>
        <w:rPr>
          <w:rFonts w:ascii="Verdana" w:hAnsi="Verdana"/>
          <w:b/>
          <w:smallCaps/>
          <w:color w:val="000080"/>
          <w:sz w:val="32"/>
        </w:rPr>
        <w:t>C</w:t>
      </w:r>
      <w:r>
        <w:rPr>
          <w:rFonts w:ascii="Verdana" w:hAnsi="Verdana"/>
          <w:b/>
          <w:smallCaps/>
          <w:color w:val="999999"/>
          <w:sz w:val="32"/>
        </w:rPr>
        <w:t>on</w:t>
      </w:r>
      <w:r>
        <w:rPr>
          <w:rFonts w:ascii="Verdana" w:hAnsi="Verdana"/>
          <w:b/>
          <w:smallCaps/>
          <w:color w:val="000080"/>
          <w:sz w:val="32"/>
        </w:rPr>
        <w:t>M</w:t>
      </w:r>
      <w:r>
        <w:rPr>
          <w:rFonts w:ascii="Verdana" w:hAnsi="Verdana"/>
          <w:b/>
          <w:smallCaps/>
          <w:color w:val="999999"/>
          <w:sz w:val="32"/>
        </w:rPr>
        <w:t>á</w:t>
      </w:r>
      <w:r w:rsidRPr="005F74E7">
        <w:rPr>
          <w:rFonts w:ascii="Verdana" w:hAnsi="Verdana"/>
          <w:b/>
          <w:smallCaps/>
          <w:color w:val="999999"/>
          <w:sz w:val="32"/>
        </w:rPr>
        <w:t>s</w:t>
      </w:r>
      <w:r>
        <w:rPr>
          <w:rFonts w:ascii="Verdana" w:hAnsi="Verdana"/>
          <w:b/>
          <w:smallCaps/>
          <w:color w:val="000080"/>
          <w:sz w:val="32"/>
        </w:rPr>
        <w:t>D</w:t>
      </w:r>
      <w:r w:rsidRPr="005F74E7">
        <w:rPr>
          <w:rFonts w:ascii="Verdana" w:hAnsi="Verdana"/>
          <w:b/>
          <w:smallCaps/>
          <w:color w:val="999999"/>
          <w:sz w:val="32"/>
        </w:rPr>
        <w:t>etalle</w:t>
      </w:r>
    </w:p>
    <w:p w:rsidR="009D1B40" w:rsidRPr="00505406" w:rsidRDefault="009D1B40" w:rsidP="00100F9B">
      <w:pPr>
        <w:jc w:val="center"/>
        <w:rPr>
          <w:rFonts w:ascii="Verdana" w:hAnsi="Verdana"/>
          <w:b/>
          <w:smallCaps/>
          <w:color w:val="999999"/>
          <w:sz w:val="32"/>
        </w:rPr>
      </w:pPr>
      <w:r>
        <w:rPr>
          <w:noProof/>
        </w:rPr>
        <w:pict>
          <v:line id="_x0000_s1045" style="position:absolute;left:0;text-align:left;z-index:251661824" from="-27pt,11.95pt" to="387pt,11.95pt" strokecolor="#69f" strokeweight="1.5pt"/>
        </w:pict>
      </w:r>
    </w:p>
    <w:p w:rsidR="009D1B40" w:rsidRDefault="009D1B40" w:rsidP="00100F9B">
      <w:pPr>
        <w:rPr>
          <w:rFonts w:ascii="Arial" w:hAnsi="Arial" w:cs="Arial"/>
          <w:b/>
          <w:sz w:val="22"/>
          <w:szCs w:val="22"/>
        </w:rPr>
      </w:pPr>
      <w:r>
        <w:rPr>
          <w:noProof/>
        </w:rPr>
        <w:pict>
          <v:shape id="_x0000_s1046" type="#_x0000_t75" style="position:absolute;margin-left:342pt;margin-top:10.3pt;width:132.95pt;height:89.15pt;z-index:251666944">
            <v:imagedata r:id="rId13" o:title=""/>
            <w10:wrap type="square"/>
          </v:shape>
        </w:pict>
      </w:r>
    </w:p>
    <w:p w:rsidR="009D1B40" w:rsidRDefault="009D1B40" w:rsidP="00100F9B">
      <w:pPr>
        <w:rPr>
          <w:rFonts w:ascii="Arial" w:hAnsi="Arial" w:cs="Arial"/>
          <w:b/>
          <w:sz w:val="22"/>
          <w:szCs w:val="22"/>
        </w:rPr>
      </w:pPr>
      <w:r>
        <w:rPr>
          <w:rFonts w:ascii="Arial" w:hAnsi="Arial" w:cs="Arial"/>
          <w:b/>
          <w:sz w:val="22"/>
          <w:szCs w:val="22"/>
        </w:rPr>
        <w:t xml:space="preserve">POLÍTICA AGRICOLA </w:t>
      </w:r>
    </w:p>
    <w:p w:rsidR="009D1B40" w:rsidRDefault="009D1B40" w:rsidP="00100F9B">
      <w:pPr>
        <w:pStyle w:val="Titulot11"/>
        <w:jc w:val="both"/>
        <w:rPr>
          <w:b w:val="0"/>
          <w:bCs w:val="0"/>
        </w:rPr>
      </w:pPr>
      <w:smartTag w:uri="urn:schemas-microsoft-com:office:smarttags" w:element="PersonName">
        <w:smartTagPr>
          <w:attr w:name="ProductID" w:val="La Comisión"/>
        </w:smartTagPr>
        <w:r>
          <w:rPr>
            <w:b w:val="0"/>
            <w:bCs w:val="0"/>
          </w:rPr>
          <w:t>La Comisión</w:t>
        </w:r>
      </w:smartTag>
      <w:r>
        <w:rPr>
          <w:b w:val="0"/>
          <w:bCs w:val="0"/>
        </w:rPr>
        <w:t xml:space="preserve">, el Consejo y el Parlamento Europeo han alcanzado un acuerdo político sobre la reforma de la política agrícola común, sujeto a aprobación oficial por el Consejo y el Parlamento europeo en forma de acuerdo en primera lectura. </w:t>
      </w:r>
    </w:p>
    <w:p w:rsidR="009D1B40" w:rsidRDefault="009D1B40" w:rsidP="00100F9B">
      <w:pPr>
        <w:pStyle w:val="Titulot11"/>
        <w:jc w:val="both"/>
        <w:rPr>
          <w:b w:val="0"/>
          <w:bCs w:val="0"/>
        </w:rPr>
      </w:pPr>
      <w:r>
        <w:rPr>
          <w:b w:val="0"/>
          <w:bCs w:val="0"/>
        </w:rPr>
        <w:t>El acuerdo se refiere a cuatro Reglamentos de base del Parlamento Europeo y del Consejo en materia de política agrícola común que abarcan:</w:t>
      </w:r>
    </w:p>
    <w:p w:rsidR="009D1B40" w:rsidRDefault="009D1B40" w:rsidP="00100F9B">
      <w:pPr>
        <w:pStyle w:val="Titulot11"/>
        <w:jc w:val="both"/>
        <w:rPr>
          <w:b w:val="0"/>
          <w:bCs w:val="0"/>
        </w:rPr>
      </w:pPr>
      <w:r>
        <w:rPr>
          <w:b w:val="0"/>
          <w:bCs w:val="0"/>
        </w:rPr>
        <w:t xml:space="preserve">-Los pagos directos: </w:t>
      </w:r>
    </w:p>
    <w:p w:rsidR="009D1B40" w:rsidRDefault="009D1B40" w:rsidP="00100F9B">
      <w:pPr>
        <w:pStyle w:val="Titulot11"/>
        <w:jc w:val="both"/>
        <w:rPr>
          <w:b w:val="0"/>
          <w:bCs w:val="0"/>
        </w:rPr>
      </w:pPr>
      <w:r>
        <w:rPr>
          <w:b w:val="0"/>
          <w:bCs w:val="0"/>
        </w:rPr>
        <w:t xml:space="preserve">Para lograr un reparto más equitativo de las ayudas el régimen de pagos directos de </w:t>
      </w:r>
      <w:smartTag w:uri="urn:schemas-microsoft-com:office:smarttags" w:element="PersonName">
        <w:smartTagPr>
          <w:attr w:name="ProductID" w:val="la PAC"/>
        </w:smartTagPr>
        <w:r>
          <w:rPr>
            <w:b w:val="0"/>
            <w:bCs w:val="0"/>
          </w:rPr>
          <w:t>la PAC</w:t>
        </w:r>
      </w:smartTag>
      <w:r>
        <w:rPr>
          <w:b w:val="0"/>
          <w:bCs w:val="0"/>
        </w:rPr>
        <w:t xml:space="preserve"> se distanciara del sistema en el que las subvenciones se asignaban  por estado miembro y por agricultor en estado miembro basándose en referencias históricas.</w:t>
      </w:r>
    </w:p>
    <w:p w:rsidR="009D1B40" w:rsidRDefault="009D1B40" w:rsidP="00100F9B">
      <w:pPr>
        <w:pStyle w:val="Titulot11"/>
        <w:jc w:val="both"/>
        <w:rPr>
          <w:b w:val="0"/>
          <w:bCs w:val="0"/>
        </w:rPr>
      </w:pPr>
      <w:r>
        <w:rPr>
          <w:b w:val="0"/>
          <w:bCs w:val="0"/>
        </w:rPr>
        <w:t xml:space="preserve">Se introduce el “pago por ecologización”, donde el 30% de la dotación nacional disponible se vincula a la observancia de determinadas practicas agrícolas sostenibles. </w:t>
      </w:r>
    </w:p>
    <w:p w:rsidR="009D1B40" w:rsidRDefault="009D1B40" w:rsidP="00100F9B">
      <w:pPr>
        <w:pStyle w:val="Titulot11"/>
        <w:jc w:val="both"/>
        <w:rPr>
          <w:b w:val="0"/>
          <w:bCs w:val="0"/>
        </w:rPr>
      </w:pPr>
      <w:r>
        <w:rPr>
          <w:b w:val="0"/>
          <w:bCs w:val="0"/>
        </w:rPr>
        <w:t>Todos los pagos seguirán condicionados al respeto de determinadas normas medioambientales y de otro tipo.</w:t>
      </w:r>
    </w:p>
    <w:p w:rsidR="009D1B40" w:rsidRDefault="009D1B40" w:rsidP="00100F9B">
      <w:pPr>
        <w:pStyle w:val="Titulot11"/>
        <w:jc w:val="both"/>
        <w:rPr>
          <w:b w:val="0"/>
          <w:bCs w:val="0"/>
        </w:rPr>
      </w:pPr>
    </w:p>
    <w:p w:rsidR="009D1B40" w:rsidRDefault="009D1B40" w:rsidP="00100F9B">
      <w:pPr>
        <w:pStyle w:val="Titulot11"/>
        <w:jc w:val="both"/>
        <w:rPr>
          <w:b w:val="0"/>
          <w:bCs w:val="0"/>
        </w:rPr>
      </w:pPr>
      <w:r>
        <w:rPr>
          <w:b w:val="0"/>
          <w:bCs w:val="0"/>
        </w:rPr>
        <w:t>-La organización común de mercados única (OCM):</w:t>
      </w:r>
    </w:p>
    <w:p w:rsidR="009D1B40" w:rsidRDefault="009D1B40" w:rsidP="00100F9B">
      <w:pPr>
        <w:pStyle w:val="Titulot11"/>
        <w:jc w:val="both"/>
        <w:rPr>
          <w:b w:val="0"/>
          <w:bCs w:val="0"/>
        </w:rPr>
      </w:pPr>
      <w:r>
        <w:rPr>
          <w:b w:val="0"/>
          <w:bCs w:val="0"/>
        </w:rPr>
        <w:t xml:space="preserve">Se pretende mejorar la orientación del mercado de la agricultura de </w:t>
      </w:r>
      <w:smartTag w:uri="urn:schemas-microsoft-com:office:smarttags" w:element="PersonName">
        <w:smartTagPr>
          <w:attr w:name="ProductID" w:val="la UE"/>
        </w:smartTagPr>
        <w:r>
          <w:rPr>
            <w:b w:val="0"/>
            <w:bCs w:val="0"/>
          </w:rPr>
          <w:t>la UE</w:t>
        </w:r>
      </w:smartTag>
      <w:r>
        <w:rPr>
          <w:b w:val="0"/>
          <w:bCs w:val="0"/>
        </w:rPr>
        <w:t xml:space="preserve"> aumentando la competencia en los mercados mundiales ofreciendo al mismo tiempo a los agricultores una red de seguridad eficaz en el contexto de las incertidumbres exteriores. También se introducen cláusulas de salvaguardia aplicables a todos los sectores que permiten que </w:t>
      </w:r>
      <w:smartTag w:uri="urn:schemas-microsoft-com:office:smarttags" w:element="PersonName">
        <w:smartTagPr>
          <w:attr w:name="ProductID" w:val="La Comisión"/>
        </w:smartTagPr>
        <w:r>
          <w:rPr>
            <w:b w:val="0"/>
            <w:bCs w:val="0"/>
          </w:rPr>
          <w:t>la Comisión</w:t>
        </w:r>
      </w:smartTag>
      <w:r>
        <w:rPr>
          <w:b w:val="0"/>
          <w:bCs w:val="0"/>
        </w:rPr>
        <w:t xml:space="preserve"> pueda adoptar medidas de urgencia con el fin de responder a perturbaciones generales del mercado.</w:t>
      </w:r>
    </w:p>
    <w:p w:rsidR="009D1B40" w:rsidRDefault="009D1B40" w:rsidP="00100F9B">
      <w:pPr>
        <w:pStyle w:val="Titulot11"/>
        <w:jc w:val="both"/>
        <w:rPr>
          <w:b w:val="0"/>
          <w:bCs w:val="0"/>
        </w:rPr>
      </w:pPr>
    </w:p>
    <w:p w:rsidR="009D1B40" w:rsidRDefault="009D1B40" w:rsidP="00100F9B">
      <w:pPr>
        <w:pStyle w:val="Titulot11"/>
        <w:jc w:val="both"/>
        <w:rPr>
          <w:b w:val="0"/>
          <w:bCs w:val="0"/>
        </w:rPr>
      </w:pPr>
      <w:r>
        <w:rPr>
          <w:b w:val="0"/>
          <w:bCs w:val="0"/>
        </w:rPr>
        <w:t>-El desarrollo rural:</w:t>
      </w:r>
    </w:p>
    <w:p w:rsidR="009D1B40" w:rsidRDefault="009D1B40" w:rsidP="00100F9B">
      <w:pPr>
        <w:pStyle w:val="Titulot11"/>
        <w:jc w:val="both"/>
        <w:rPr>
          <w:b w:val="0"/>
          <w:bCs w:val="0"/>
        </w:rPr>
      </w:pPr>
      <w:r>
        <w:rPr>
          <w:b w:val="0"/>
          <w:bCs w:val="0"/>
        </w:rPr>
        <w:t xml:space="preserve">La política de desarrollo rural mantendrá su concepto fundamental en el que los Estados miembros o las regiones seguirán diseñando sus propios programas plurianuales basados en las medidas disponibles de </w:t>
      </w:r>
      <w:smartTag w:uri="urn:schemas-microsoft-com:office:smarttags" w:element="PersonName">
        <w:smartTagPr>
          <w:attr w:name="ProductID" w:val="la UE"/>
        </w:smartTagPr>
        <w:r>
          <w:rPr>
            <w:b w:val="0"/>
            <w:bCs w:val="0"/>
          </w:rPr>
          <w:t>la UE</w:t>
        </w:r>
      </w:smartTag>
      <w:r>
        <w:rPr>
          <w:b w:val="0"/>
          <w:bCs w:val="0"/>
        </w:rPr>
        <w:t xml:space="preserve"> y en respuesta a las necesidades de sus zonas rurales. La política de desarrollo rural funcionara en estrecha coordinación con otras políticas  mediante un marco estratégico común a nivel de </w:t>
      </w:r>
      <w:smartTag w:uri="urn:schemas-microsoft-com:office:smarttags" w:element="PersonName">
        <w:smartTagPr>
          <w:attr w:name="ProductID" w:val="la UE"/>
        </w:smartTagPr>
        <w:r>
          <w:rPr>
            <w:b w:val="0"/>
            <w:bCs w:val="0"/>
          </w:rPr>
          <w:t>la UE</w:t>
        </w:r>
      </w:smartTag>
      <w:r>
        <w:rPr>
          <w:b w:val="0"/>
          <w:bCs w:val="0"/>
        </w:rPr>
        <w:t xml:space="preserve"> y através de acuerdos de asociación a nivel nacional que abarquen todas las ayudas de los Fondos estructurales de Inversión Europeos en el estado miembro que se trate.</w:t>
      </w:r>
    </w:p>
    <w:p w:rsidR="009D1B40" w:rsidRDefault="009D1B40" w:rsidP="00100F9B">
      <w:pPr>
        <w:pStyle w:val="Titulot11"/>
        <w:jc w:val="both"/>
        <w:rPr>
          <w:b w:val="0"/>
          <w:bCs w:val="0"/>
        </w:rPr>
      </w:pPr>
    </w:p>
    <w:p w:rsidR="009D1B40" w:rsidRDefault="009D1B40" w:rsidP="00100F9B">
      <w:pPr>
        <w:pStyle w:val="Titulot11"/>
        <w:jc w:val="both"/>
        <w:rPr>
          <w:b w:val="0"/>
          <w:bCs w:val="0"/>
        </w:rPr>
      </w:pPr>
      <w:r>
        <w:rPr>
          <w:b w:val="0"/>
          <w:bCs w:val="0"/>
        </w:rPr>
        <w:t>-Reglamento horizontal sobre financiación, gestión y seguimiento de la política agrícola común:</w:t>
      </w:r>
    </w:p>
    <w:p w:rsidR="009D1B40" w:rsidRPr="005B4B2C" w:rsidRDefault="009D1B40" w:rsidP="00100F9B">
      <w:pPr>
        <w:pStyle w:val="Titulot11"/>
        <w:jc w:val="both"/>
        <w:rPr>
          <w:b w:val="0"/>
          <w:bCs w:val="0"/>
        </w:rPr>
      </w:pPr>
      <w:r>
        <w:rPr>
          <w:b w:val="0"/>
          <w:bCs w:val="0"/>
        </w:rPr>
        <w:t xml:space="preserve">Controles, servicios de asesoramiento a las explotaciones, condicionalidad, reserva de crisis, transparencia además de un seguimiento y evaluación de </w:t>
      </w:r>
      <w:smartTag w:uri="urn:schemas-microsoft-com:office:smarttags" w:element="PersonName">
        <w:smartTagPr>
          <w:attr w:name="ProductID" w:val="la PAC"/>
        </w:smartTagPr>
        <w:r>
          <w:rPr>
            <w:b w:val="0"/>
            <w:bCs w:val="0"/>
          </w:rPr>
          <w:t>la PAC</w:t>
        </w:r>
      </w:smartTag>
      <w:r>
        <w:rPr>
          <w:b w:val="0"/>
          <w:bCs w:val="0"/>
        </w:rPr>
        <w:t xml:space="preserve"> que presentara </w:t>
      </w:r>
      <w:smartTag w:uri="urn:schemas-microsoft-com:office:smarttags" w:element="PersonName">
        <w:smartTagPr>
          <w:attr w:name="ProductID" w:val="La Comisión"/>
        </w:smartTagPr>
        <w:r>
          <w:rPr>
            <w:b w:val="0"/>
            <w:bCs w:val="0"/>
          </w:rPr>
          <w:t>la Comisión</w:t>
        </w:r>
      </w:smartTag>
      <w:r>
        <w:rPr>
          <w:b w:val="0"/>
          <w:bCs w:val="0"/>
        </w:rPr>
        <w:t xml:space="preserve"> cada 4 años sobre la producción viable de alimentos, la gestión sostenible de los recursos naturales y el desarrollo rural equilibrado.</w:t>
      </w:r>
    </w:p>
    <w:p w:rsidR="009D1B40" w:rsidRPr="00E732E7" w:rsidRDefault="009D1B40" w:rsidP="00100F9B">
      <w:pPr>
        <w:rPr>
          <w:rFonts w:ascii="Arial" w:hAnsi="Arial" w:cs="Arial"/>
          <w:sz w:val="20"/>
          <w:szCs w:val="20"/>
        </w:rPr>
      </w:pPr>
      <w:r>
        <w:rPr>
          <w:noProof/>
        </w:rPr>
        <w:pict>
          <v:line id="_x0000_s1047" style="position:absolute;z-index:251655680" from="-18pt,-1.8pt" to="-18pt,571.2pt" strokecolor="#69f" strokeweight="1.5pt"/>
        </w:pict>
      </w:r>
      <w:r>
        <w:rPr>
          <w:noProof/>
        </w:rPr>
        <w:pict>
          <v:line id="_x0000_s1048" style="position:absolute;z-index:251656704" from="-18pt,0" to="-18pt,423pt" strokecolor="#69f" strokeweight="1.5pt"/>
        </w:pict>
      </w:r>
      <w:r>
        <w:rPr>
          <w:noProof/>
        </w:rPr>
        <w:pict>
          <v:line id="_x0000_s1049" style="position:absolute;z-index:251654656" from="-42pt,4pt" to="291pt,4pt" strokecolor="#69f" strokeweight="1.5pt"/>
        </w:pict>
      </w:r>
    </w:p>
    <w:p w:rsidR="009D1B40" w:rsidRDefault="009D1B40" w:rsidP="00100F9B">
      <w:pPr>
        <w:tabs>
          <w:tab w:val="left" w:pos="3600"/>
          <w:tab w:val="center" w:pos="4819"/>
        </w:tabs>
        <w:rPr>
          <w:i/>
          <w:iCs/>
          <w:sz w:val="16"/>
          <w:lang w:val="es-ES_tradnl"/>
        </w:rPr>
      </w:pPr>
      <w:r>
        <w:rPr>
          <w:rFonts w:ascii="Verdana" w:hAnsi="Verdana"/>
          <w:b/>
          <w:smallCaps/>
          <w:color w:val="000080"/>
          <w:sz w:val="32"/>
        </w:rPr>
        <w:tab/>
      </w:r>
      <w:r>
        <w:rPr>
          <w:rFonts w:ascii="Verdana" w:hAnsi="Verdana"/>
          <w:b/>
          <w:smallCaps/>
          <w:color w:val="000080"/>
          <w:sz w:val="32"/>
        </w:rPr>
        <w:tab/>
        <w:t>A</w:t>
      </w:r>
      <w:r>
        <w:rPr>
          <w:rFonts w:ascii="Verdana" w:hAnsi="Verdana"/>
          <w:b/>
          <w:smallCaps/>
          <w:color w:val="999999"/>
          <w:sz w:val="32"/>
        </w:rPr>
        <w:t>demás…</w:t>
      </w:r>
    </w:p>
    <w:p w:rsidR="009D1B40" w:rsidRDefault="009D1B40" w:rsidP="00100F9B">
      <w:r>
        <w:rPr>
          <w:noProof/>
        </w:rPr>
        <w:pict>
          <v:line id="_x0000_s1050" style="position:absolute;z-index:251650560" from="-27pt,6.05pt" to="387pt,6.05pt" strokecolor="#69f" strokeweight="1.5pt"/>
        </w:pict>
      </w:r>
    </w:p>
    <w:p w:rsidR="009D1B40" w:rsidRPr="00AE1931" w:rsidRDefault="009D1B40" w:rsidP="00100F9B">
      <w:pPr>
        <w:pStyle w:val="Titulot"/>
        <w:shd w:val="pct35" w:color="FFFFFF" w:fill="333399"/>
        <w:ind w:left="708" w:right="0"/>
      </w:pPr>
      <w:bookmarkStart w:id="0" w:name="_Toc234924844"/>
      <w:bookmarkStart w:id="1" w:name="_Toc312233183"/>
      <w:r w:rsidRPr="00AE1931">
        <w:t>CONVOCATORIAS</w:t>
      </w:r>
      <w:bookmarkEnd w:id="0"/>
      <w:bookmarkEnd w:id="1"/>
    </w:p>
    <w:p w:rsidR="009D1B40" w:rsidRDefault="009D1B40" w:rsidP="00100F9B">
      <w:pPr>
        <w:ind w:firstLine="709"/>
        <w:rPr>
          <w:rFonts w:ascii="Arial" w:hAnsi="Arial" w:cs="Arial"/>
          <w:b/>
          <w:bCs/>
          <w:sz w:val="20"/>
          <w:szCs w:val="20"/>
        </w:rPr>
      </w:pPr>
    </w:p>
    <w:p w:rsidR="009D1B40" w:rsidRPr="004758EF" w:rsidRDefault="009D1B40" w:rsidP="00100F9B">
      <w:pPr>
        <w:rPr>
          <w:rFonts w:ascii="Arial" w:hAnsi="Arial" w:cs="Arial"/>
          <w:b/>
          <w:bCs/>
          <w:sz w:val="20"/>
          <w:szCs w:val="20"/>
        </w:rPr>
      </w:pPr>
      <w:r>
        <w:rPr>
          <w:rFonts w:ascii="Arial" w:hAnsi="Arial" w:cs="Arial"/>
          <w:b/>
          <w:bCs/>
          <w:sz w:val="20"/>
          <w:szCs w:val="20"/>
        </w:rPr>
        <w:t xml:space="preserve">             Primera audición sobre el Reglamento de Puertos </w:t>
      </w:r>
      <w:r>
        <w:rPr>
          <w:rFonts w:ascii="Arial" w:hAnsi="Arial" w:cs="Arial"/>
          <w:bCs/>
          <w:sz w:val="20"/>
          <w:szCs w:val="20"/>
        </w:rPr>
        <w:t xml:space="preserve">(Bruselas, 05 </w:t>
      </w:r>
      <w:r w:rsidRPr="003C3E76">
        <w:rPr>
          <w:rFonts w:ascii="Arial" w:hAnsi="Arial" w:cs="Arial"/>
          <w:bCs/>
          <w:sz w:val="20"/>
          <w:szCs w:val="20"/>
        </w:rPr>
        <w:t xml:space="preserve">de </w:t>
      </w:r>
      <w:r>
        <w:rPr>
          <w:rFonts w:ascii="Arial" w:hAnsi="Arial" w:cs="Arial"/>
          <w:bCs/>
          <w:sz w:val="20"/>
          <w:szCs w:val="20"/>
        </w:rPr>
        <w:t>Noviembre</w:t>
      </w:r>
      <w:r w:rsidRPr="003C3E76">
        <w:rPr>
          <w:rFonts w:ascii="Arial" w:hAnsi="Arial" w:cs="Arial"/>
          <w:bCs/>
          <w:sz w:val="20"/>
          <w:szCs w:val="20"/>
        </w:rPr>
        <w:t>)</w:t>
      </w:r>
    </w:p>
    <w:p w:rsidR="009D1B40" w:rsidRDefault="009D1B40" w:rsidP="00100F9B">
      <w:pPr>
        <w:rPr>
          <w:rFonts w:ascii="Arial" w:hAnsi="Arial" w:cs="Arial"/>
          <w:bCs/>
          <w:sz w:val="18"/>
          <w:szCs w:val="18"/>
        </w:rPr>
      </w:pPr>
      <w:r>
        <w:rPr>
          <w:rFonts w:ascii="Arial" w:hAnsi="Arial" w:cs="Arial"/>
          <w:b/>
          <w:bCs/>
          <w:sz w:val="20"/>
          <w:szCs w:val="20"/>
        </w:rPr>
        <w:t xml:space="preserve">             Reuniones de </w:t>
      </w:r>
      <w:smartTag w:uri="urn:schemas-microsoft-com:office:smarttags" w:element="PersonName">
        <w:smartTagPr>
          <w:attr w:name="ProductID" w:val="La Comisión"/>
        </w:smartTagPr>
        <w:r>
          <w:rPr>
            <w:rFonts w:ascii="Arial" w:hAnsi="Arial" w:cs="Arial"/>
            <w:b/>
            <w:bCs/>
            <w:sz w:val="20"/>
            <w:szCs w:val="20"/>
          </w:rPr>
          <w:t>la Comisión</w:t>
        </w:r>
      </w:smartTag>
      <w:r>
        <w:rPr>
          <w:rFonts w:ascii="Arial" w:hAnsi="Arial" w:cs="Arial"/>
          <w:b/>
          <w:bCs/>
          <w:sz w:val="20"/>
          <w:szCs w:val="20"/>
        </w:rPr>
        <w:t xml:space="preserve"> del Parlamento Europeo</w:t>
      </w:r>
      <w:r w:rsidRPr="005B2CEC">
        <w:rPr>
          <w:rFonts w:ascii="Arial" w:hAnsi="Arial" w:cs="Arial"/>
          <w:bCs/>
          <w:sz w:val="20"/>
          <w:szCs w:val="20"/>
        </w:rPr>
        <w:t xml:space="preserve"> (</w:t>
      </w:r>
      <w:r>
        <w:rPr>
          <w:rFonts w:ascii="Arial" w:hAnsi="Arial" w:cs="Arial"/>
          <w:bCs/>
          <w:sz w:val="20"/>
          <w:szCs w:val="20"/>
        </w:rPr>
        <w:t>Bruselas, del 04 al 07 de Noviembre)</w:t>
      </w:r>
    </w:p>
    <w:p w:rsidR="009D1B40" w:rsidRDefault="009D1B40" w:rsidP="00100F9B">
      <w:pPr>
        <w:rPr>
          <w:rFonts w:ascii="Arial" w:hAnsi="Arial" w:cs="Arial"/>
          <w:bCs/>
          <w:sz w:val="20"/>
          <w:szCs w:val="20"/>
        </w:rPr>
      </w:pPr>
      <w:r>
        <w:rPr>
          <w:rFonts w:ascii="Arial" w:hAnsi="Arial" w:cs="Arial"/>
          <w:bCs/>
          <w:sz w:val="18"/>
          <w:szCs w:val="18"/>
        </w:rPr>
        <w:t xml:space="preserve">              </w:t>
      </w:r>
      <w:r>
        <w:rPr>
          <w:rFonts w:ascii="Arial" w:hAnsi="Arial" w:cs="Arial"/>
          <w:b/>
          <w:bCs/>
          <w:sz w:val="20"/>
          <w:szCs w:val="20"/>
        </w:rPr>
        <w:t>Conferencia “Retos a los mercados verdes a través de ecoetiquetas”</w:t>
      </w:r>
      <w:r w:rsidRPr="005B2CEC">
        <w:rPr>
          <w:rFonts w:ascii="Arial" w:hAnsi="Arial" w:cs="Arial"/>
          <w:bCs/>
          <w:sz w:val="20"/>
          <w:szCs w:val="20"/>
        </w:rPr>
        <w:t xml:space="preserve"> (</w:t>
      </w:r>
      <w:r>
        <w:rPr>
          <w:rFonts w:ascii="Arial" w:hAnsi="Arial" w:cs="Arial"/>
          <w:bCs/>
          <w:sz w:val="20"/>
          <w:szCs w:val="20"/>
        </w:rPr>
        <w:t>Bruselas, 05 de Noviembre)</w:t>
      </w:r>
    </w:p>
    <w:p w:rsidR="009D1B40" w:rsidRPr="003C0F0D" w:rsidRDefault="009D1B40" w:rsidP="00100F9B">
      <w:pPr>
        <w:rPr>
          <w:rFonts w:ascii="Arial" w:hAnsi="Arial" w:cs="Arial"/>
          <w:b/>
          <w:bCs/>
          <w:sz w:val="20"/>
          <w:szCs w:val="20"/>
        </w:rPr>
      </w:pPr>
      <w:r>
        <w:rPr>
          <w:rFonts w:ascii="Arial" w:hAnsi="Arial" w:cs="Arial"/>
          <w:bCs/>
          <w:sz w:val="20"/>
          <w:szCs w:val="20"/>
        </w:rPr>
        <w:t xml:space="preserve">             </w:t>
      </w:r>
      <w:r w:rsidRPr="003C0F0D">
        <w:rPr>
          <w:rFonts w:ascii="Arial" w:hAnsi="Arial" w:cs="Arial"/>
          <w:b/>
          <w:bCs/>
          <w:sz w:val="20"/>
          <w:szCs w:val="20"/>
        </w:rPr>
        <w:t>Pleno del Parlamento Europeo</w:t>
      </w:r>
      <w:r>
        <w:rPr>
          <w:rFonts w:ascii="Arial" w:hAnsi="Arial" w:cs="Arial"/>
          <w:b/>
          <w:bCs/>
          <w:sz w:val="20"/>
          <w:szCs w:val="20"/>
        </w:rPr>
        <w:t xml:space="preserve"> </w:t>
      </w:r>
      <w:r w:rsidRPr="003C0F0D">
        <w:rPr>
          <w:rFonts w:ascii="Arial" w:hAnsi="Arial" w:cs="Arial"/>
          <w:bCs/>
          <w:sz w:val="20"/>
          <w:szCs w:val="20"/>
        </w:rPr>
        <w:t>(</w:t>
      </w:r>
      <w:r>
        <w:rPr>
          <w:rFonts w:ascii="Arial" w:hAnsi="Arial" w:cs="Arial"/>
          <w:bCs/>
          <w:sz w:val="20"/>
          <w:szCs w:val="20"/>
        </w:rPr>
        <w:t>Bruselas, del 06 al 07 de Noviembre)</w:t>
      </w:r>
    </w:p>
    <w:p w:rsidR="009D1B40" w:rsidRPr="005B2CEC" w:rsidRDefault="009D1B40" w:rsidP="00100F9B">
      <w:pPr>
        <w:rPr>
          <w:rFonts w:ascii="Arial" w:hAnsi="Arial" w:cs="Arial"/>
          <w:bCs/>
          <w:sz w:val="20"/>
          <w:szCs w:val="20"/>
        </w:rPr>
      </w:pPr>
      <w:r>
        <w:rPr>
          <w:rFonts w:ascii="Arial" w:hAnsi="Arial" w:cs="Arial"/>
          <w:bCs/>
          <w:sz w:val="20"/>
          <w:szCs w:val="20"/>
        </w:rPr>
        <w:t xml:space="preserve">             </w:t>
      </w:r>
      <w:r w:rsidRPr="005B2CEC">
        <w:rPr>
          <w:rFonts w:ascii="Arial" w:hAnsi="Arial" w:cs="Arial"/>
          <w:b/>
          <w:bCs/>
          <w:sz w:val="20"/>
          <w:szCs w:val="20"/>
        </w:rPr>
        <w:t>Conferencia de logística 2013</w:t>
      </w:r>
      <w:r>
        <w:rPr>
          <w:rFonts w:ascii="Arial" w:hAnsi="Arial" w:cs="Arial"/>
          <w:b/>
          <w:bCs/>
          <w:sz w:val="20"/>
          <w:szCs w:val="20"/>
        </w:rPr>
        <w:t xml:space="preserve"> </w:t>
      </w:r>
      <w:r w:rsidRPr="005B2CEC">
        <w:rPr>
          <w:rFonts w:ascii="Arial" w:hAnsi="Arial" w:cs="Arial"/>
          <w:bCs/>
          <w:sz w:val="20"/>
          <w:szCs w:val="20"/>
        </w:rPr>
        <w:t>(Bruselas</w:t>
      </w:r>
      <w:r>
        <w:rPr>
          <w:rFonts w:ascii="Arial" w:hAnsi="Arial" w:cs="Arial"/>
          <w:bCs/>
          <w:sz w:val="20"/>
          <w:szCs w:val="20"/>
        </w:rPr>
        <w:t>, del 07 al 08 de Noviembre)</w:t>
      </w:r>
    </w:p>
    <w:p w:rsidR="009D1B40" w:rsidRPr="005B4B2C" w:rsidRDefault="009D1B40" w:rsidP="005B4B2C">
      <w:pPr>
        <w:rPr>
          <w:rFonts w:ascii="Arial" w:hAnsi="Arial" w:cs="Arial"/>
          <w:bCs/>
          <w:sz w:val="20"/>
          <w:szCs w:val="20"/>
        </w:rPr>
      </w:pPr>
      <w:r>
        <w:rPr>
          <w:rFonts w:ascii="Arial" w:hAnsi="Arial" w:cs="Arial"/>
          <w:bCs/>
          <w:sz w:val="20"/>
          <w:szCs w:val="20"/>
        </w:rPr>
        <w:t xml:space="preserve">        </w:t>
      </w:r>
    </w:p>
    <w:p w:rsidR="009D1B40" w:rsidRPr="00AE1931" w:rsidRDefault="009D1B40" w:rsidP="00100F9B">
      <w:pPr>
        <w:pStyle w:val="Titulot"/>
        <w:shd w:val="pct35" w:color="FFFFFF" w:fill="333399"/>
        <w:ind w:left="900" w:right="998"/>
      </w:pPr>
      <w:bookmarkStart w:id="2" w:name="_Toc312233184"/>
      <w:r>
        <w:t>CIFRAS EUROSTAT</w:t>
      </w:r>
      <w:bookmarkEnd w:id="2"/>
    </w:p>
    <w:tbl>
      <w:tblPr>
        <w:tblW w:w="0" w:type="auto"/>
        <w:jc w:val="center"/>
        <w:tblInd w:w="-3" w:type="dxa"/>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Layout w:type="fixed"/>
        <w:tblCellMar>
          <w:left w:w="0" w:type="dxa"/>
          <w:right w:w="0" w:type="dxa"/>
        </w:tblCellMar>
        <w:tblLook w:val="0000"/>
      </w:tblPr>
      <w:tblGrid>
        <w:gridCol w:w="4437"/>
        <w:gridCol w:w="1088"/>
        <w:gridCol w:w="1088"/>
        <w:gridCol w:w="1085"/>
      </w:tblGrid>
      <w:tr w:rsidR="009D1B40" w:rsidTr="000B0EAE">
        <w:trPr>
          <w:trHeight w:val="130"/>
          <w:jc w:val="center"/>
        </w:trPr>
        <w:tc>
          <w:tcPr>
            <w:tcW w:w="4437" w:type="dxa"/>
            <w:shd w:val="clear" w:color="auto" w:fill="CCCCCC"/>
            <w:tcMar>
              <w:top w:w="12" w:type="dxa"/>
              <w:left w:w="12" w:type="dxa"/>
              <w:bottom w:w="0" w:type="dxa"/>
              <w:right w:w="12" w:type="dxa"/>
            </w:tcMar>
          </w:tcPr>
          <w:p w:rsidR="009D1B40" w:rsidRPr="00844477" w:rsidRDefault="009D1B40" w:rsidP="00830C44">
            <w:pPr>
              <w:jc w:val="center"/>
              <w:rPr>
                <w:rFonts w:ascii="Arial" w:hAnsi="Arial" w:cs="Arial"/>
                <w:b/>
                <w:bCs/>
                <w:color w:val="FFFFFF"/>
              </w:rPr>
            </w:pPr>
            <w:r>
              <w:rPr>
                <w:rFonts w:ascii="Arial" w:hAnsi="Arial" w:cs="Arial"/>
                <w:sz w:val="12"/>
                <w:szCs w:val="12"/>
              </w:rPr>
              <w:t xml:space="preserve"> </w:t>
            </w:r>
          </w:p>
        </w:tc>
        <w:tc>
          <w:tcPr>
            <w:tcW w:w="1088" w:type="dxa"/>
            <w:shd w:val="clear" w:color="auto" w:fill="CCCCCC"/>
          </w:tcPr>
          <w:p w:rsidR="009D1B40" w:rsidRPr="00844477" w:rsidRDefault="009D1B40" w:rsidP="00830C44">
            <w:pPr>
              <w:jc w:val="center"/>
              <w:rPr>
                <w:rFonts w:ascii="Arial" w:hAnsi="Arial" w:cs="Arial"/>
                <w:b/>
                <w:bCs/>
                <w:color w:val="FFFFFF"/>
              </w:rPr>
            </w:pPr>
            <w:r w:rsidRPr="00844477">
              <w:rPr>
                <w:rFonts w:ascii="Arial" w:hAnsi="Arial" w:cs="Arial"/>
                <w:b/>
                <w:bCs/>
                <w:color w:val="FFFFFF"/>
                <w:sz w:val="22"/>
                <w:szCs w:val="22"/>
              </w:rPr>
              <w:t>Eurozona</w:t>
            </w:r>
          </w:p>
        </w:tc>
        <w:tc>
          <w:tcPr>
            <w:tcW w:w="1088" w:type="dxa"/>
            <w:shd w:val="clear" w:color="auto" w:fill="CCCCCC"/>
          </w:tcPr>
          <w:p w:rsidR="009D1B40" w:rsidRPr="00844477" w:rsidRDefault="009D1B40" w:rsidP="00830C44">
            <w:pPr>
              <w:jc w:val="center"/>
              <w:rPr>
                <w:rFonts w:ascii="Arial" w:hAnsi="Arial" w:cs="Arial"/>
                <w:b/>
                <w:bCs/>
                <w:color w:val="FFFFFF"/>
              </w:rPr>
            </w:pPr>
            <w:r w:rsidRPr="00844477">
              <w:rPr>
                <w:rFonts w:ascii="Arial" w:hAnsi="Arial" w:cs="Arial"/>
                <w:b/>
                <w:bCs/>
                <w:color w:val="FFFFFF"/>
                <w:sz w:val="22"/>
                <w:szCs w:val="22"/>
              </w:rPr>
              <w:t xml:space="preserve">UE </w:t>
            </w:r>
            <w:r>
              <w:rPr>
                <w:rFonts w:ascii="Arial" w:hAnsi="Arial" w:cs="Arial"/>
                <w:b/>
                <w:bCs/>
                <w:color w:val="FFFFFF"/>
                <w:sz w:val="22"/>
                <w:szCs w:val="22"/>
              </w:rPr>
              <w:t>–</w:t>
            </w:r>
            <w:r w:rsidRPr="00844477">
              <w:rPr>
                <w:rFonts w:ascii="Arial" w:hAnsi="Arial" w:cs="Arial"/>
                <w:b/>
                <w:bCs/>
                <w:color w:val="FFFFFF"/>
                <w:sz w:val="22"/>
                <w:szCs w:val="22"/>
              </w:rPr>
              <w:t xml:space="preserve"> 2</w:t>
            </w:r>
            <w:r>
              <w:rPr>
                <w:rFonts w:ascii="Arial" w:hAnsi="Arial" w:cs="Arial"/>
                <w:b/>
                <w:bCs/>
                <w:color w:val="FFFFFF"/>
                <w:sz w:val="22"/>
                <w:szCs w:val="22"/>
              </w:rPr>
              <w:t>8</w:t>
            </w:r>
          </w:p>
        </w:tc>
        <w:tc>
          <w:tcPr>
            <w:tcW w:w="1085" w:type="dxa"/>
            <w:shd w:val="clear" w:color="auto" w:fill="CCCCCC"/>
          </w:tcPr>
          <w:p w:rsidR="009D1B40" w:rsidRPr="00844477" w:rsidRDefault="009D1B40" w:rsidP="00830C44">
            <w:pPr>
              <w:jc w:val="center"/>
              <w:rPr>
                <w:rFonts w:ascii="Arial" w:hAnsi="Arial" w:cs="Arial"/>
                <w:b/>
                <w:bCs/>
                <w:color w:val="FFFFFF"/>
              </w:rPr>
            </w:pPr>
            <w:r w:rsidRPr="00844477">
              <w:rPr>
                <w:rFonts w:ascii="Arial" w:hAnsi="Arial" w:cs="Arial"/>
                <w:b/>
                <w:bCs/>
                <w:color w:val="FFFFFF"/>
                <w:sz w:val="22"/>
                <w:szCs w:val="22"/>
              </w:rPr>
              <w:t>España</w:t>
            </w:r>
          </w:p>
        </w:tc>
      </w:tr>
      <w:tr w:rsidR="009D1B40" w:rsidTr="00971AD6">
        <w:trPr>
          <w:cantSplit/>
          <w:trHeight w:val="151"/>
          <w:jc w:val="center"/>
        </w:trPr>
        <w:tc>
          <w:tcPr>
            <w:tcW w:w="4437" w:type="dxa"/>
            <w:shd w:val="pct50" w:color="FFFFFF" w:fill="99CCFF"/>
            <w:tcMar>
              <w:top w:w="15" w:type="dxa"/>
              <w:left w:w="12" w:type="dxa"/>
              <w:bottom w:w="15" w:type="dxa"/>
              <w:right w:w="12" w:type="dxa"/>
            </w:tcMar>
            <w:vAlign w:val="center"/>
          </w:tcPr>
          <w:p w:rsidR="009D1B40" w:rsidRDefault="009D1B40" w:rsidP="00971AD6">
            <w:pPr>
              <w:rPr>
                <w:rFonts w:ascii="Arial" w:eastAsia="Arial Unicode MS" w:hAnsi="Arial" w:cs="Arial"/>
                <w:b/>
                <w:bCs/>
                <w:color w:val="666699"/>
                <w:sz w:val="15"/>
                <w:szCs w:val="15"/>
              </w:rPr>
            </w:pPr>
            <w:r>
              <w:rPr>
                <w:rFonts w:ascii="Arial" w:eastAsia="Arial Unicode MS" w:hAnsi="Arial" w:cs="Arial"/>
                <w:b/>
                <w:bCs/>
                <w:color w:val="666699"/>
                <w:sz w:val="15"/>
                <w:szCs w:val="15"/>
              </w:rPr>
              <w:t xml:space="preserve">                       Estimación Inflación Anual (%) Octubre 2013 </w:t>
            </w:r>
          </w:p>
        </w:tc>
        <w:tc>
          <w:tcPr>
            <w:tcW w:w="1088" w:type="dxa"/>
            <w:shd w:val="pct50" w:color="FFFFFF" w:fill="99CCFF"/>
            <w:vAlign w:val="center"/>
          </w:tcPr>
          <w:p w:rsidR="009D1B40" w:rsidRDefault="009D1B40" w:rsidP="00971AD6">
            <w:pPr>
              <w:rPr>
                <w:rFonts w:ascii="Arial" w:eastAsia="Arial Unicode MS" w:hAnsi="Arial" w:cs="Arial"/>
                <w:color w:val="000000"/>
                <w:sz w:val="18"/>
                <w:szCs w:val="18"/>
              </w:rPr>
            </w:pPr>
            <w:r>
              <w:rPr>
                <w:rFonts w:ascii="Arial" w:eastAsia="Arial Unicode MS" w:hAnsi="Arial" w:cs="Arial"/>
                <w:color w:val="000000"/>
                <w:sz w:val="18"/>
                <w:szCs w:val="18"/>
              </w:rPr>
              <w:t xml:space="preserve">      0.7%</w:t>
            </w:r>
          </w:p>
        </w:tc>
        <w:tc>
          <w:tcPr>
            <w:tcW w:w="1088" w:type="dxa"/>
            <w:shd w:val="pct50" w:color="FFFFFF" w:fill="99CCFF"/>
            <w:vAlign w:val="center"/>
          </w:tcPr>
          <w:p w:rsidR="009D1B40" w:rsidRDefault="009D1B40" w:rsidP="00971AD6">
            <w:pPr>
              <w:rPr>
                <w:rFonts w:ascii="Arial" w:eastAsia="Arial Unicode MS" w:hAnsi="Arial" w:cs="Arial"/>
                <w:color w:val="000000"/>
                <w:sz w:val="18"/>
                <w:szCs w:val="18"/>
              </w:rPr>
            </w:pPr>
          </w:p>
        </w:tc>
        <w:tc>
          <w:tcPr>
            <w:tcW w:w="1085" w:type="dxa"/>
            <w:shd w:val="pct50" w:color="FFFFFF" w:fill="99CCFF"/>
            <w:vAlign w:val="center"/>
          </w:tcPr>
          <w:p w:rsidR="009D1B40" w:rsidRDefault="009D1B40" w:rsidP="00830C44">
            <w:pPr>
              <w:jc w:val="center"/>
              <w:rPr>
                <w:rFonts w:ascii="Arial" w:eastAsia="Arial Unicode MS" w:hAnsi="Arial" w:cs="Arial"/>
                <w:color w:val="000000"/>
                <w:sz w:val="18"/>
                <w:szCs w:val="18"/>
              </w:rPr>
            </w:pPr>
          </w:p>
        </w:tc>
      </w:tr>
      <w:tr w:rsidR="009D1B40" w:rsidTr="000B0EAE">
        <w:trPr>
          <w:cantSplit/>
          <w:trHeight w:val="199"/>
          <w:jc w:val="center"/>
        </w:trPr>
        <w:tc>
          <w:tcPr>
            <w:tcW w:w="4437" w:type="dxa"/>
            <w:shd w:val="pct50" w:color="FFFFFF" w:fill="99CCFF"/>
            <w:tcMar>
              <w:top w:w="15" w:type="dxa"/>
              <w:left w:w="12" w:type="dxa"/>
              <w:bottom w:w="15" w:type="dxa"/>
              <w:right w:w="12" w:type="dxa"/>
            </w:tcMar>
            <w:vAlign w:val="center"/>
          </w:tcPr>
          <w:p w:rsidR="009D1B40" w:rsidRDefault="009D1B40" w:rsidP="00830C44">
            <w:pPr>
              <w:rPr>
                <w:rFonts w:ascii="Arial" w:eastAsia="Arial Unicode MS" w:hAnsi="Arial" w:cs="Arial"/>
                <w:b/>
                <w:bCs/>
                <w:color w:val="666699"/>
                <w:sz w:val="15"/>
                <w:szCs w:val="15"/>
              </w:rPr>
            </w:pPr>
            <w:r>
              <w:rPr>
                <w:rFonts w:ascii="Arial" w:eastAsia="Arial Unicode MS" w:hAnsi="Arial" w:cs="Arial"/>
                <w:b/>
                <w:bCs/>
                <w:color w:val="666699"/>
                <w:sz w:val="15"/>
                <w:szCs w:val="15"/>
              </w:rPr>
              <w:t xml:space="preserve">                        Tasa de Desempleo (%) Septiembre 2013</w:t>
            </w:r>
          </w:p>
        </w:tc>
        <w:tc>
          <w:tcPr>
            <w:tcW w:w="1088" w:type="dxa"/>
            <w:shd w:val="pct50" w:color="FFFFFF" w:fill="99CCFF"/>
            <w:vAlign w:val="center"/>
          </w:tcPr>
          <w:p w:rsidR="009D1B40" w:rsidRDefault="009D1B40" w:rsidP="00971AD6">
            <w:pPr>
              <w:rPr>
                <w:rFonts w:ascii="Arial" w:eastAsia="Arial Unicode MS" w:hAnsi="Arial" w:cs="Arial"/>
                <w:color w:val="000000"/>
                <w:sz w:val="18"/>
                <w:szCs w:val="18"/>
              </w:rPr>
            </w:pPr>
            <w:r>
              <w:rPr>
                <w:rFonts w:ascii="Arial" w:eastAsia="Arial Unicode MS" w:hAnsi="Arial" w:cs="Arial"/>
                <w:color w:val="000000"/>
                <w:sz w:val="18"/>
                <w:szCs w:val="18"/>
              </w:rPr>
              <w:t xml:space="preserve">    12.2%</w:t>
            </w:r>
          </w:p>
        </w:tc>
        <w:tc>
          <w:tcPr>
            <w:tcW w:w="1088" w:type="dxa"/>
            <w:shd w:val="pct50" w:color="FFFFFF" w:fill="99CCFF"/>
            <w:vAlign w:val="center"/>
          </w:tcPr>
          <w:p w:rsidR="009D1B40" w:rsidRDefault="009D1B40" w:rsidP="00830C44">
            <w:pPr>
              <w:jc w:val="center"/>
              <w:rPr>
                <w:rFonts w:ascii="Arial" w:eastAsia="Arial Unicode MS" w:hAnsi="Arial" w:cs="Arial"/>
                <w:color w:val="000000"/>
                <w:sz w:val="18"/>
                <w:szCs w:val="18"/>
              </w:rPr>
            </w:pPr>
            <w:r>
              <w:rPr>
                <w:rFonts w:ascii="Arial" w:eastAsia="Arial Unicode MS" w:hAnsi="Arial" w:cs="Arial"/>
                <w:color w:val="000000"/>
                <w:sz w:val="18"/>
                <w:szCs w:val="18"/>
              </w:rPr>
              <w:t>11%</w:t>
            </w:r>
          </w:p>
        </w:tc>
        <w:tc>
          <w:tcPr>
            <w:tcW w:w="1085" w:type="dxa"/>
            <w:shd w:val="pct50" w:color="FFFFFF" w:fill="99CCFF"/>
            <w:vAlign w:val="center"/>
          </w:tcPr>
          <w:p w:rsidR="009D1B40" w:rsidRDefault="009D1B40" w:rsidP="00830C44">
            <w:pPr>
              <w:jc w:val="center"/>
              <w:rPr>
                <w:rFonts w:ascii="Arial" w:eastAsia="Arial Unicode MS" w:hAnsi="Arial" w:cs="Arial"/>
                <w:color w:val="000000"/>
                <w:sz w:val="18"/>
                <w:szCs w:val="18"/>
              </w:rPr>
            </w:pPr>
            <w:r>
              <w:rPr>
                <w:rFonts w:ascii="Arial" w:eastAsia="Arial Unicode MS" w:hAnsi="Arial" w:cs="Arial"/>
                <w:color w:val="000000"/>
                <w:sz w:val="18"/>
                <w:szCs w:val="18"/>
              </w:rPr>
              <w:t>26.6%</w:t>
            </w:r>
          </w:p>
        </w:tc>
      </w:tr>
    </w:tbl>
    <w:p w:rsidR="009D1B40" w:rsidRDefault="009D1B40" w:rsidP="00100F9B">
      <w:pPr>
        <w:shd w:val="clear" w:color="auto" w:fill="F3F3F3"/>
        <w:ind w:right="6038"/>
        <w:rPr>
          <w:rFonts w:ascii="Arial" w:hAnsi="Arial" w:cs="Arial"/>
          <w:b/>
          <w:color w:val="1F497D"/>
          <w:sz w:val="44"/>
          <w:szCs w:val="44"/>
        </w:rPr>
      </w:pPr>
      <w:r>
        <w:rPr>
          <w:noProof/>
        </w:rPr>
        <w:pict>
          <v:shape id="_x0000_s1051" type="#_x0000_t75" style="position:absolute;margin-left:315pt;margin-top:0;width:171pt;height:117pt;z-index:251667968;mso-position-horizontal-relative:text;mso-position-vertical-relative:text">
            <v:imagedata r:id="rId14" o:title=""/>
            <w10:wrap type="square"/>
          </v:shape>
        </w:pict>
      </w:r>
    </w:p>
    <w:p w:rsidR="009D1B40" w:rsidRDefault="009D1B40" w:rsidP="00100F9B">
      <w:pPr>
        <w:shd w:val="clear" w:color="auto" w:fill="F3F3F3"/>
        <w:ind w:right="6038"/>
        <w:rPr>
          <w:color w:val="1F497D"/>
        </w:rPr>
      </w:pPr>
      <w:r w:rsidRPr="005728DF">
        <w:rPr>
          <w:rFonts w:ascii="Arial" w:hAnsi="Arial" w:cs="Arial"/>
          <w:b/>
          <w:color w:val="1F497D"/>
          <w:sz w:val="44"/>
          <w:szCs w:val="44"/>
        </w:rPr>
        <w:t>S</w:t>
      </w:r>
      <w:r w:rsidRPr="005728DF">
        <w:rPr>
          <w:rFonts w:ascii="Arial" w:hAnsi="Arial" w:cs="Arial"/>
          <w:b/>
          <w:color w:val="1F497D"/>
          <w:sz w:val="28"/>
          <w:szCs w:val="28"/>
        </w:rPr>
        <w:t>aber más</w:t>
      </w:r>
      <w:r w:rsidRPr="005728DF">
        <w:rPr>
          <w:color w:val="1F497D"/>
        </w:rPr>
        <w:t xml:space="preserve"> </w:t>
      </w:r>
    </w:p>
    <w:p w:rsidR="009D1B40" w:rsidRDefault="009D1B40" w:rsidP="00100F9B">
      <w:pPr>
        <w:shd w:val="clear" w:color="auto" w:fill="F3F3F3"/>
        <w:ind w:right="6038"/>
        <w:rPr>
          <w:rFonts w:ascii="Arial" w:hAnsi="Arial" w:cs="Arial"/>
          <w:b/>
          <w:color w:val="1F497D"/>
          <w:sz w:val="44"/>
          <w:szCs w:val="44"/>
        </w:rPr>
      </w:pPr>
    </w:p>
    <w:p w:rsidR="009D1B40" w:rsidRPr="00677177" w:rsidRDefault="009D1B40" w:rsidP="00100F9B">
      <w:pPr>
        <w:shd w:val="clear" w:color="auto" w:fill="F3F3F3"/>
        <w:ind w:right="6038"/>
        <w:rPr>
          <w:rFonts w:ascii="Arial" w:hAnsi="Arial" w:cs="Arial"/>
          <w:b/>
          <w:color w:val="1F497D"/>
          <w:sz w:val="44"/>
          <w:szCs w:val="44"/>
        </w:rPr>
      </w:pPr>
    </w:p>
    <w:p w:rsidR="009D1B40" w:rsidRDefault="009D1B40" w:rsidP="00100F9B">
      <w:pPr>
        <w:shd w:val="clear" w:color="auto" w:fill="F3F3F3"/>
        <w:rPr>
          <w:rFonts w:ascii="Arial" w:hAnsi="Arial"/>
          <w:b/>
          <w:sz w:val="22"/>
          <w:szCs w:val="22"/>
        </w:rPr>
      </w:pPr>
      <w:smartTag w:uri="urn:schemas-microsoft-com:office:smarttags" w:element="PersonName">
        <w:smartTagPr>
          <w:attr w:name="ProductID" w:val="La Union"/>
        </w:smartTagPr>
        <w:smartTag w:uri="urn:schemas-microsoft-com:office:smarttags" w:element="PersonName">
          <w:smartTagPr>
            <w:attr w:name="ProductID" w:val="La Union Europea"/>
          </w:smartTagPr>
          <w:r>
            <w:rPr>
              <w:rFonts w:ascii="Arial" w:hAnsi="Arial"/>
              <w:b/>
              <w:sz w:val="22"/>
              <w:szCs w:val="22"/>
            </w:rPr>
            <w:t>LA UNION</w:t>
          </w:r>
        </w:smartTag>
        <w:r>
          <w:rPr>
            <w:rFonts w:ascii="Arial" w:hAnsi="Arial"/>
            <w:b/>
            <w:sz w:val="22"/>
            <w:szCs w:val="22"/>
          </w:rPr>
          <w:t xml:space="preserve"> EUROPEA</w:t>
        </w:r>
      </w:smartTag>
      <w:r>
        <w:rPr>
          <w:rFonts w:ascii="Arial" w:hAnsi="Arial"/>
          <w:b/>
          <w:sz w:val="22"/>
          <w:szCs w:val="22"/>
        </w:rPr>
        <w:t xml:space="preserve"> Y SUS VECINOS</w:t>
      </w:r>
    </w:p>
    <w:p w:rsidR="009D1B40" w:rsidRPr="00FD7487" w:rsidRDefault="009D1B40" w:rsidP="00100F9B">
      <w:pPr>
        <w:shd w:val="clear" w:color="auto" w:fill="F3F3F3"/>
        <w:rPr>
          <w:rFonts w:ascii="Arial" w:hAnsi="Arial"/>
          <w:b/>
          <w:sz w:val="22"/>
          <w:szCs w:val="22"/>
        </w:rPr>
      </w:pPr>
    </w:p>
    <w:p w:rsidR="009D1B40" w:rsidRDefault="009D1B40" w:rsidP="00100F9B">
      <w:pPr>
        <w:shd w:val="clear" w:color="auto" w:fill="F3F3F3"/>
        <w:tabs>
          <w:tab w:val="left" w:pos="4860"/>
        </w:tabs>
        <w:jc w:val="both"/>
        <w:rPr>
          <w:rFonts w:ascii="Arial" w:hAnsi="Arial"/>
          <w:b/>
          <w:sz w:val="20"/>
          <w:szCs w:val="20"/>
        </w:rPr>
      </w:pPr>
    </w:p>
    <w:p w:rsidR="009D1B40" w:rsidRDefault="009D1B40" w:rsidP="00100F9B">
      <w:pPr>
        <w:shd w:val="clear" w:color="auto" w:fill="F3F3F3"/>
        <w:tabs>
          <w:tab w:val="left" w:pos="4860"/>
        </w:tabs>
        <w:jc w:val="both"/>
        <w:rPr>
          <w:rFonts w:ascii="Arial" w:hAnsi="Arial"/>
          <w:sz w:val="20"/>
          <w:szCs w:val="20"/>
        </w:rPr>
      </w:pPr>
      <w:r w:rsidRPr="005B37C5">
        <w:rPr>
          <w:rFonts w:ascii="Arial" w:hAnsi="Arial"/>
          <w:sz w:val="20"/>
          <w:szCs w:val="20"/>
        </w:rPr>
        <w:t>La</w:t>
      </w:r>
      <w:r>
        <w:rPr>
          <w:rFonts w:ascii="Arial" w:hAnsi="Arial"/>
          <w:sz w:val="20"/>
          <w:szCs w:val="20"/>
        </w:rPr>
        <w:t xml:space="preserve"> política Europea de Vecindad (PEV) se desarrollo en el contexto de ampliación de </w:t>
      </w:r>
      <w:smartTag w:uri="urn:schemas-microsoft-com:office:smarttags" w:element="PersonName">
        <w:smartTagPr>
          <w:attr w:name="ProductID" w:val="la UE"/>
        </w:smartTagPr>
        <w:r>
          <w:rPr>
            <w:rFonts w:ascii="Arial" w:hAnsi="Arial"/>
            <w:sz w:val="20"/>
            <w:szCs w:val="20"/>
          </w:rPr>
          <w:t>la UE</w:t>
        </w:r>
      </w:smartTag>
      <w:r>
        <w:rPr>
          <w:rFonts w:ascii="Arial" w:hAnsi="Arial"/>
          <w:sz w:val="20"/>
          <w:szCs w:val="20"/>
        </w:rPr>
        <w:t xml:space="preserve"> en el 2004  con la finalidad de evitar nuevas líneas divisorias entre la UE y sus vecinos y consolidar estabilidad, seguridad y bienestar para todos.  </w:t>
      </w: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Pr>
        <w:shd w:val="clear" w:color="auto" w:fill="F3F3F3"/>
        <w:tabs>
          <w:tab w:val="left" w:pos="4860"/>
        </w:tabs>
        <w:jc w:val="both"/>
        <w:rPr>
          <w:rFonts w:ascii="Arial" w:hAnsi="Arial"/>
          <w:sz w:val="20"/>
          <w:szCs w:val="20"/>
        </w:rPr>
      </w:pPr>
      <w:r>
        <w:rPr>
          <w:rFonts w:ascii="Arial" w:hAnsi="Arial"/>
          <w:sz w:val="20"/>
          <w:szCs w:val="20"/>
        </w:rPr>
        <w:t>Es importante para la Unión Europea tener buenas relaciones con sus vecinos basadas en un interés mutuo y valores comunes como la democracia, los derechos humanos, el estado de derecho, buen gobierno, principios de economía de mercado y desarrollo sostenible. La Unión Europea ofrece una relación privilegiada a sus vecinos a cambio de que pongan en marcha reformas económicas y políticas en las que incluyan el compromiso con la democracia y los derechos humanos.</w:t>
      </w:r>
      <w:r w:rsidRPr="000227D4">
        <w:rPr>
          <w:rFonts w:ascii="Arial" w:hAnsi="Arial"/>
          <w:sz w:val="20"/>
          <w:szCs w:val="20"/>
        </w:rPr>
        <w:t xml:space="preserve"> </w:t>
      </w: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Pr>
        <w:shd w:val="clear" w:color="auto" w:fill="F3F3F3"/>
        <w:tabs>
          <w:tab w:val="left" w:pos="4860"/>
        </w:tabs>
        <w:jc w:val="both"/>
        <w:rPr>
          <w:rFonts w:ascii="Arial" w:hAnsi="Arial"/>
          <w:sz w:val="20"/>
          <w:szCs w:val="20"/>
        </w:rPr>
      </w:pPr>
      <w:r>
        <w:rPr>
          <w:rFonts w:ascii="Arial" w:hAnsi="Arial"/>
          <w:sz w:val="20"/>
          <w:szCs w:val="20"/>
        </w:rPr>
        <w:t>Los 16 países que forman parte de la política europea de vecindad son:</w:t>
      </w:r>
    </w:p>
    <w:p w:rsidR="009D1B40" w:rsidRDefault="009D1B40" w:rsidP="00100F9B">
      <w:pPr>
        <w:shd w:val="clear" w:color="auto" w:fill="F3F3F3"/>
        <w:tabs>
          <w:tab w:val="left" w:pos="4860"/>
        </w:tabs>
        <w:jc w:val="both"/>
        <w:rPr>
          <w:rFonts w:ascii="Arial" w:hAnsi="Arial" w:cs="Arial"/>
          <w:sz w:val="20"/>
          <w:szCs w:val="20"/>
        </w:rPr>
      </w:pPr>
      <w:r>
        <w:rPr>
          <w:rFonts w:ascii="Arial" w:hAnsi="Arial"/>
          <w:sz w:val="20"/>
          <w:szCs w:val="20"/>
        </w:rPr>
        <w:t>Argelia</w:t>
      </w:r>
      <w:r>
        <w:rPr>
          <w:rFonts w:ascii="Arial" w:hAnsi="Arial" w:cs="Arial"/>
          <w:sz w:val="20"/>
          <w:szCs w:val="20"/>
        </w:rPr>
        <w:t>, Armenia, Azerbaiyán, Bielorrusia, Egipto, Georgia, Israel, Jordania, Líbano, Libia, Moldavia, Marruecos, Palestina, Siria, Túnez y  Ucrania.</w:t>
      </w:r>
      <w:r w:rsidRPr="00FA0909">
        <w:rPr>
          <w:rFonts w:ascii="Arial" w:hAnsi="Arial" w:cs="Arial"/>
          <w:sz w:val="20"/>
          <w:szCs w:val="20"/>
        </w:rPr>
        <w:t xml:space="preserve"> </w:t>
      </w:r>
    </w:p>
    <w:p w:rsidR="009D1B40" w:rsidRPr="00FA0909" w:rsidRDefault="009D1B40" w:rsidP="00100F9B">
      <w:pPr>
        <w:shd w:val="clear" w:color="auto" w:fill="F3F3F3"/>
        <w:tabs>
          <w:tab w:val="left" w:pos="4860"/>
        </w:tabs>
        <w:jc w:val="both"/>
        <w:rPr>
          <w:rFonts w:ascii="Arial" w:hAnsi="Arial" w:cs="Arial"/>
          <w:sz w:val="20"/>
          <w:szCs w:val="20"/>
        </w:rPr>
      </w:pPr>
    </w:p>
    <w:p w:rsidR="009D1B40" w:rsidRDefault="009D1B40" w:rsidP="00100F9B">
      <w:pPr>
        <w:shd w:val="clear" w:color="auto" w:fill="F3F3F3"/>
        <w:tabs>
          <w:tab w:val="left" w:pos="4860"/>
        </w:tabs>
        <w:jc w:val="both"/>
        <w:rPr>
          <w:rFonts w:ascii="Arial" w:hAnsi="Arial" w:cs="Arial"/>
          <w:sz w:val="20"/>
          <w:szCs w:val="20"/>
        </w:rPr>
      </w:pPr>
      <w:r>
        <w:rPr>
          <w:rFonts w:ascii="Arial" w:hAnsi="Arial"/>
          <w:sz w:val="20"/>
          <w:szCs w:val="20"/>
        </w:rPr>
        <w:t xml:space="preserve">La política de vecindad se lleva a cabo a través de planes de acción específicos para cada Estado vecino en los cuales se establece una agenda de reformas. En concreto se han adoptado 12 planes de acción, Argelia lo esta negociando y </w:t>
      </w:r>
      <w:r>
        <w:rPr>
          <w:rFonts w:ascii="Arial" w:hAnsi="Arial" w:cs="Arial"/>
          <w:sz w:val="20"/>
          <w:szCs w:val="20"/>
        </w:rPr>
        <w:t>Bielorrusia, Siria y Libia están fuera de los principales programas de la política europea de vecindad.</w:t>
      </w: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Pr>
        <w:shd w:val="clear" w:color="auto" w:fill="F3F3F3"/>
        <w:tabs>
          <w:tab w:val="left" w:pos="4860"/>
        </w:tabs>
        <w:jc w:val="both"/>
        <w:rPr>
          <w:rFonts w:ascii="Arial" w:hAnsi="Arial"/>
          <w:sz w:val="20"/>
          <w:szCs w:val="20"/>
        </w:rPr>
      </w:pPr>
      <w:r>
        <w:rPr>
          <w:rFonts w:ascii="Arial" w:hAnsi="Arial"/>
          <w:sz w:val="20"/>
          <w:szCs w:val="20"/>
        </w:rPr>
        <w:t>La Unión europea ayuda a la aplicación de las reformas mediante varias formas de asistencia técnica y financiera, las ayudas económicas ascienden a18.500 millones de euros para los años 2014-2020.</w:t>
      </w:r>
    </w:p>
    <w:p w:rsidR="009D1B40" w:rsidRDefault="009D1B40" w:rsidP="00100F9B">
      <w:pPr>
        <w:shd w:val="clear" w:color="auto" w:fill="F3F3F3"/>
        <w:tabs>
          <w:tab w:val="left" w:pos="4860"/>
        </w:tabs>
        <w:jc w:val="both"/>
        <w:rPr>
          <w:rFonts w:ascii="Arial" w:hAnsi="Arial"/>
          <w:sz w:val="20"/>
          <w:szCs w:val="20"/>
        </w:rPr>
      </w:pPr>
      <w:r>
        <w:rPr>
          <w:rFonts w:ascii="Arial" w:hAnsi="Arial"/>
          <w:sz w:val="20"/>
          <w:szCs w:val="20"/>
        </w:rPr>
        <w:t>Una vez al año se evalúan los progresos realizados en objetivos como el sistema político, las reformas económicas y sociales, el estado de derecho y el respeto por los derechos humanos.</w:t>
      </w:r>
    </w:p>
    <w:p w:rsidR="009D1B40" w:rsidRDefault="009D1B40" w:rsidP="00100F9B">
      <w:pPr>
        <w:shd w:val="clear" w:color="auto" w:fill="F3F3F3"/>
        <w:tabs>
          <w:tab w:val="left" w:pos="4860"/>
        </w:tabs>
        <w:jc w:val="both"/>
        <w:rPr>
          <w:rFonts w:ascii="Arial" w:hAnsi="Arial"/>
          <w:sz w:val="20"/>
          <w:szCs w:val="20"/>
        </w:rPr>
      </w:pPr>
      <w:r>
        <w:rPr>
          <w:rFonts w:ascii="Arial" w:hAnsi="Arial"/>
          <w:sz w:val="20"/>
          <w:szCs w:val="20"/>
        </w:rPr>
        <w:t xml:space="preserve"> </w:t>
      </w:r>
    </w:p>
    <w:p w:rsidR="009D1B40" w:rsidRDefault="009D1B40" w:rsidP="00100F9B">
      <w:pPr>
        <w:shd w:val="clear" w:color="auto" w:fill="F3F3F3"/>
        <w:tabs>
          <w:tab w:val="left" w:pos="4860"/>
        </w:tabs>
        <w:jc w:val="both"/>
        <w:rPr>
          <w:rFonts w:ascii="Arial" w:hAnsi="Arial"/>
          <w:sz w:val="20"/>
          <w:szCs w:val="20"/>
        </w:rPr>
      </w:pPr>
      <w:r>
        <w:rPr>
          <w:rFonts w:ascii="Arial" w:hAnsi="Arial"/>
          <w:sz w:val="20"/>
          <w:szCs w:val="20"/>
        </w:rPr>
        <w:t>A través de una resolución en el mes de octubre el Parlamento Europeo reclamo que a pesar de la crisis la Unión Europea mantenga sus compromisos con sus vecinos del este y del sur y que compense caso por caso los avances con las reformas.</w:t>
      </w: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Pr>
        <w:shd w:val="clear" w:color="auto" w:fill="F3F3F3"/>
        <w:tabs>
          <w:tab w:val="left" w:pos="4860"/>
        </w:tabs>
        <w:jc w:val="both"/>
        <w:rPr>
          <w:rFonts w:ascii="Arial" w:hAnsi="Arial"/>
          <w:sz w:val="20"/>
          <w:szCs w:val="20"/>
        </w:rPr>
      </w:pPr>
      <w:r>
        <w:rPr>
          <w:rFonts w:ascii="Arial" w:hAnsi="Arial"/>
          <w:sz w:val="20"/>
          <w:szCs w:val="20"/>
        </w:rPr>
        <w:t>La política europea de vecindad se reviso en el año 2011 con el objetivo de reforzar el principio de condicionalidad, mas dinero a cambio de mas reformas.</w:t>
      </w: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Pr>
        <w:shd w:val="clear" w:color="auto" w:fill="F3F3F3"/>
        <w:tabs>
          <w:tab w:val="left" w:pos="4860"/>
        </w:tabs>
        <w:jc w:val="both"/>
        <w:rPr>
          <w:rFonts w:ascii="Arial" w:hAnsi="Arial"/>
          <w:sz w:val="20"/>
          <w:szCs w:val="20"/>
        </w:rPr>
      </w:pPr>
    </w:p>
    <w:p w:rsidR="009D1B40" w:rsidRDefault="009D1B40" w:rsidP="00100F9B"/>
    <w:p w:rsidR="009D1B40" w:rsidRDefault="009D1B40" w:rsidP="00100F9B"/>
    <w:p w:rsidR="009D1B40" w:rsidRDefault="009D1B40" w:rsidP="00100F9B"/>
    <w:p w:rsidR="009D1B40" w:rsidRDefault="009D1B40"/>
    <w:sectPr w:rsidR="009D1B40" w:rsidSect="00830C44">
      <w:type w:val="continuous"/>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40" w:rsidRDefault="009D1B40">
      <w:r>
        <w:separator/>
      </w:r>
    </w:p>
  </w:endnote>
  <w:endnote w:type="continuationSeparator" w:id="0">
    <w:p w:rsidR="009D1B40" w:rsidRDefault="009D1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40" w:rsidRDefault="009D1B40" w:rsidP="00830C44">
    <w:pPr>
      <w:pStyle w:val="Footer"/>
      <w:tabs>
        <w:tab w:val="clear" w:pos="8504"/>
        <w:tab w:val="right" w:pos="97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5pt;margin-top:718.05pt;width:82.15pt;height:32.1pt;z-index:251658752;mso-position-horizontal-relative:margin;mso-position-vertical-relative:margin">
          <v:imagedata r:id="rId1" o:title=""/>
          <w10:wrap type="square" anchorx="margin" anchory="margin"/>
        </v:shape>
      </w:pict>
    </w:r>
    <w:r>
      <w:rPr>
        <w:noProof/>
      </w:rPr>
      <w:pict>
        <v:line id="_x0000_s2050" style="position:absolute;z-index:251656704" from="99pt,15.8pt" to="468pt,15.8pt" strokecolor="#03c"/>
      </w:pict>
    </w:r>
    <w:r>
      <w:tab/>
    </w:r>
    <w:r>
      <w:tab/>
    </w:r>
    <w:r w:rsidRPr="00A71A03">
      <w:rPr>
        <w:rStyle w:val="PageNumber"/>
        <w:rFonts w:ascii="Arial" w:hAnsi="Arial" w:cs="Arial"/>
        <w:b/>
        <w:sz w:val="20"/>
        <w:szCs w:val="20"/>
      </w:rPr>
      <w:fldChar w:fldCharType="begin"/>
    </w:r>
    <w:r w:rsidRPr="00A71A03">
      <w:rPr>
        <w:rStyle w:val="PageNumber"/>
        <w:rFonts w:ascii="Arial" w:hAnsi="Arial" w:cs="Arial"/>
        <w:b/>
        <w:sz w:val="20"/>
        <w:szCs w:val="20"/>
      </w:rPr>
      <w:instrText xml:space="preserve"> PAGE </w:instrText>
    </w:r>
    <w:r w:rsidRPr="00A71A03">
      <w:rPr>
        <w:rStyle w:val="PageNumber"/>
        <w:rFonts w:ascii="Arial" w:hAnsi="Arial" w:cs="Arial"/>
        <w:b/>
        <w:sz w:val="20"/>
        <w:szCs w:val="20"/>
      </w:rPr>
      <w:fldChar w:fldCharType="separate"/>
    </w:r>
    <w:r>
      <w:rPr>
        <w:rStyle w:val="PageNumber"/>
        <w:rFonts w:ascii="Arial" w:hAnsi="Arial" w:cs="Arial"/>
        <w:b/>
        <w:noProof/>
        <w:sz w:val="20"/>
        <w:szCs w:val="20"/>
      </w:rPr>
      <w:t>4</w:t>
    </w:r>
    <w:r w:rsidRPr="00A71A03">
      <w:rPr>
        <w:rStyle w:val="PageNumbe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40" w:rsidRDefault="009D1B40">
      <w:r>
        <w:separator/>
      </w:r>
    </w:p>
  </w:footnote>
  <w:footnote w:type="continuationSeparator" w:id="0">
    <w:p w:rsidR="009D1B40" w:rsidRDefault="009D1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40" w:rsidRPr="007C71CE" w:rsidRDefault="009D1B40" w:rsidP="00830C44">
    <w:pPr>
      <w:pStyle w:val="Header"/>
      <w:jc w:val="right"/>
      <w:rPr>
        <w:color w:val="FFFF9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alt="http://www.expatica.com/photos/radC469B.jpg" style="position:absolute;left:0;text-align:left;margin-left:-25.65pt;margin-top:-.55pt;width:531pt;height:27pt;z-index:-251658752;visibility:visible">
          <v:imagedata r:id="rId1" o:title=""/>
        </v:shape>
      </w:pict>
    </w:r>
    <w:r>
      <w:rPr>
        <w:rFonts w:ascii="Verdana" w:hAnsi="Verdana"/>
        <w:b/>
        <w:smallCaps/>
        <w:color w:val="FFFF99"/>
        <w:sz w:val="32"/>
      </w:rPr>
      <w:t>LS</w:t>
    </w:r>
    <w:r w:rsidRPr="00A5598B">
      <w:rPr>
        <w:rFonts w:ascii="Verdana" w:hAnsi="Verdana"/>
        <w:b/>
        <w:color w:val="FFFF99"/>
        <w:sz w:val="32"/>
      </w:rPr>
      <w:t>e</w:t>
    </w:r>
    <w:r>
      <w:rPr>
        <w:rFonts w:ascii="Verdana" w:hAnsi="Verdana"/>
        <w:b/>
        <w:smallCaps/>
        <w:color w:val="FFFF99"/>
        <w:sz w:val="32"/>
      </w:rPr>
      <w:t>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F9B"/>
    <w:rsid w:val="00002F94"/>
    <w:rsid w:val="00011A1B"/>
    <w:rsid w:val="000227D4"/>
    <w:rsid w:val="00024681"/>
    <w:rsid w:val="00027394"/>
    <w:rsid w:val="00034370"/>
    <w:rsid w:val="00040F99"/>
    <w:rsid w:val="0004617F"/>
    <w:rsid w:val="00047C05"/>
    <w:rsid w:val="00066AFD"/>
    <w:rsid w:val="00085138"/>
    <w:rsid w:val="000A4A7A"/>
    <w:rsid w:val="000B0EAE"/>
    <w:rsid w:val="000C0BFA"/>
    <w:rsid w:val="000C37DB"/>
    <w:rsid w:val="000C57B2"/>
    <w:rsid w:val="000C62D6"/>
    <w:rsid w:val="000C7E53"/>
    <w:rsid w:val="000E7D48"/>
    <w:rsid w:val="000F635C"/>
    <w:rsid w:val="00100825"/>
    <w:rsid w:val="00100F9B"/>
    <w:rsid w:val="00101302"/>
    <w:rsid w:val="001060AF"/>
    <w:rsid w:val="0013734D"/>
    <w:rsid w:val="0015414A"/>
    <w:rsid w:val="001551F5"/>
    <w:rsid w:val="00156D7B"/>
    <w:rsid w:val="00163D32"/>
    <w:rsid w:val="00182938"/>
    <w:rsid w:val="0018726C"/>
    <w:rsid w:val="00194C9B"/>
    <w:rsid w:val="00196544"/>
    <w:rsid w:val="001A409C"/>
    <w:rsid w:val="001A4E36"/>
    <w:rsid w:val="001A669B"/>
    <w:rsid w:val="001A73A8"/>
    <w:rsid w:val="001B0EAA"/>
    <w:rsid w:val="001B3554"/>
    <w:rsid w:val="001D7361"/>
    <w:rsid w:val="001F261D"/>
    <w:rsid w:val="001F5F9B"/>
    <w:rsid w:val="00227525"/>
    <w:rsid w:val="00234E37"/>
    <w:rsid w:val="00241320"/>
    <w:rsid w:val="00266A55"/>
    <w:rsid w:val="00272A0A"/>
    <w:rsid w:val="00285FB2"/>
    <w:rsid w:val="002B1787"/>
    <w:rsid w:val="002B5176"/>
    <w:rsid w:val="002C2E92"/>
    <w:rsid w:val="002C6D83"/>
    <w:rsid w:val="002F6648"/>
    <w:rsid w:val="002F7F44"/>
    <w:rsid w:val="00307736"/>
    <w:rsid w:val="0031241A"/>
    <w:rsid w:val="00320DB2"/>
    <w:rsid w:val="0034464A"/>
    <w:rsid w:val="00372F44"/>
    <w:rsid w:val="003752C3"/>
    <w:rsid w:val="00382956"/>
    <w:rsid w:val="0038563B"/>
    <w:rsid w:val="003B174F"/>
    <w:rsid w:val="003C0F0D"/>
    <w:rsid w:val="003C3E76"/>
    <w:rsid w:val="003D7BE5"/>
    <w:rsid w:val="003F0835"/>
    <w:rsid w:val="00400782"/>
    <w:rsid w:val="00400B12"/>
    <w:rsid w:val="00410AA4"/>
    <w:rsid w:val="00413163"/>
    <w:rsid w:val="0044544A"/>
    <w:rsid w:val="00446CD3"/>
    <w:rsid w:val="004507F6"/>
    <w:rsid w:val="00462A03"/>
    <w:rsid w:val="00473D3D"/>
    <w:rsid w:val="004758EF"/>
    <w:rsid w:val="0049397E"/>
    <w:rsid w:val="004B2FF3"/>
    <w:rsid w:val="004B42CB"/>
    <w:rsid w:val="004B5B55"/>
    <w:rsid w:val="004C09C7"/>
    <w:rsid w:val="004E242E"/>
    <w:rsid w:val="004E39FB"/>
    <w:rsid w:val="004F190C"/>
    <w:rsid w:val="00505406"/>
    <w:rsid w:val="005118FF"/>
    <w:rsid w:val="00512415"/>
    <w:rsid w:val="00515924"/>
    <w:rsid w:val="00541158"/>
    <w:rsid w:val="00542D7E"/>
    <w:rsid w:val="00550090"/>
    <w:rsid w:val="00552CF0"/>
    <w:rsid w:val="00565054"/>
    <w:rsid w:val="005728DF"/>
    <w:rsid w:val="00591D56"/>
    <w:rsid w:val="00593998"/>
    <w:rsid w:val="00596A3F"/>
    <w:rsid w:val="00597696"/>
    <w:rsid w:val="005A5DC8"/>
    <w:rsid w:val="005B2CEC"/>
    <w:rsid w:val="005B37C5"/>
    <w:rsid w:val="005B4B2C"/>
    <w:rsid w:val="005C598B"/>
    <w:rsid w:val="005D4B78"/>
    <w:rsid w:val="005E0892"/>
    <w:rsid w:val="005F74E7"/>
    <w:rsid w:val="00602012"/>
    <w:rsid w:val="00607DD4"/>
    <w:rsid w:val="0064687F"/>
    <w:rsid w:val="00666A08"/>
    <w:rsid w:val="00673D58"/>
    <w:rsid w:val="00677177"/>
    <w:rsid w:val="006B52F8"/>
    <w:rsid w:val="006B7C0C"/>
    <w:rsid w:val="006C306A"/>
    <w:rsid w:val="006D7D4E"/>
    <w:rsid w:val="006E58C2"/>
    <w:rsid w:val="006F210F"/>
    <w:rsid w:val="006F7579"/>
    <w:rsid w:val="00715D0C"/>
    <w:rsid w:val="00730662"/>
    <w:rsid w:val="007443B0"/>
    <w:rsid w:val="00744874"/>
    <w:rsid w:val="0074606A"/>
    <w:rsid w:val="00746AFA"/>
    <w:rsid w:val="00757DE7"/>
    <w:rsid w:val="00766A4B"/>
    <w:rsid w:val="0078026D"/>
    <w:rsid w:val="007A0087"/>
    <w:rsid w:val="007A03CF"/>
    <w:rsid w:val="007A06B3"/>
    <w:rsid w:val="007C71CE"/>
    <w:rsid w:val="007D1E9C"/>
    <w:rsid w:val="007E43AB"/>
    <w:rsid w:val="007E65CD"/>
    <w:rsid w:val="007E765E"/>
    <w:rsid w:val="00801B59"/>
    <w:rsid w:val="00805237"/>
    <w:rsid w:val="00830C44"/>
    <w:rsid w:val="00841F2E"/>
    <w:rsid w:val="00844477"/>
    <w:rsid w:val="008546EE"/>
    <w:rsid w:val="00866E4B"/>
    <w:rsid w:val="008700C4"/>
    <w:rsid w:val="008742FA"/>
    <w:rsid w:val="00874574"/>
    <w:rsid w:val="008828DB"/>
    <w:rsid w:val="008864DB"/>
    <w:rsid w:val="00890227"/>
    <w:rsid w:val="0089372E"/>
    <w:rsid w:val="00894CD3"/>
    <w:rsid w:val="00895669"/>
    <w:rsid w:val="008970A9"/>
    <w:rsid w:val="008A7B24"/>
    <w:rsid w:val="008B1000"/>
    <w:rsid w:val="008D4303"/>
    <w:rsid w:val="008E33EB"/>
    <w:rsid w:val="008E487E"/>
    <w:rsid w:val="0091198C"/>
    <w:rsid w:val="00911B38"/>
    <w:rsid w:val="00912CF3"/>
    <w:rsid w:val="00931DE2"/>
    <w:rsid w:val="00934577"/>
    <w:rsid w:val="0093702C"/>
    <w:rsid w:val="00971AD6"/>
    <w:rsid w:val="0098740C"/>
    <w:rsid w:val="009A4702"/>
    <w:rsid w:val="009A6B59"/>
    <w:rsid w:val="009A75CC"/>
    <w:rsid w:val="009B1CEA"/>
    <w:rsid w:val="009B633C"/>
    <w:rsid w:val="009D0538"/>
    <w:rsid w:val="009D1B40"/>
    <w:rsid w:val="009D39DA"/>
    <w:rsid w:val="009F350D"/>
    <w:rsid w:val="009F6269"/>
    <w:rsid w:val="00A04C31"/>
    <w:rsid w:val="00A05868"/>
    <w:rsid w:val="00A155AB"/>
    <w:rsid w:val="00A2718F"/>
    <w:rsid w:val="00A305A5"/>
    <w:rsid w:val="00A44A2C"/>
    <w:rsid w:val="00A5097C"/>
    <w:rsid w:val="00A5501F"/>
    <w:rsid w:val="00A5598B"/>
    <w:rsid w:val="00A55E07"/>
    <w:rsid w:val="00A7105A"/>
    <w:rsid w:val="00A71A03"/>
    <w:rsid w:val="00A752CA"/>
    <w:rsid w:val="00A7784A"/>
    <w:rsid w:val="00A80BDF"/>
    <w:rsid w:val="00A81858"/>
    <w:rsid w:val="00A9164B"/>
    <w:rsid w:val="00AC177F"/>
    <w:rsid w:val="00AC202F"/>
    <w:rsid w:val="00AC3DC3"/>
    <w:rsid w:val="00AC48D6"/>
    <w:rsid w:val="00AE0BB5"/>
    <w:rsid w:val="00AE1931"/>
    <w:rsid w:val="00AE48B2"/>
    <w:rsid w:val="00AF54D4"/>
    <w:rsid w:val="00B140D2"/>
    <w:rsid w:val="00B14637"/>
    <w:rsid w:val="00B17D86"/>
    <w:rsid w:val="00B22516"/>
    <w:rsid w:val="00B26691"/>
    <w:rsid w:val="00B40663"/>
    <w:rsid w:val="00B661CE"/>
    <w:rsid w:val="00B90A22"/>
    <w:rsid w:val="00BA315E"/>
    <w:rsid w:val="00BB0710"/>
    <w:rsid w:val="00BE4935"/>
    <w:rsid w:val="00BE6366"/>
    <w:rsid w:val="00C05C95"/>
    <w:rsid w:val="00C06103"/>
    <w:rsid w:val="00C12388"/>
    <w:rsid w:val="00C13C43"/>
    <w:rsid w:val="00C178CC"/>
    <w:rsid w:val="00C2495A"/>
    <w:rsid w:val="00C3145D"/>
    <w:rsid w:val="00C325A7"/>
    <w:rsid w:val="00C42A97"/>
    <w:rsid w:val="00C558B3"/>
    <w:rsid w:val="00C57C2C"/>
    <w:rsid w:val="00C6789C"/>
    <w:rsid w:val="00C714ED"/>
    <w:rsid w:val="00C85559"/>
    <w:rsid w:val="00C85560"/>
    <w:rsid w:val="00C91EA0"/>
    <w:rsid w:val="00C92B7E"/>
    <w:rsid w:val="00C971AA"/>
    <w:rsid w:val="00CA6520"/>
    <w:rsid w:val="00CD0910"/>
    <w:rsid w:val="00CE02FB"/>
    <w:rsid w:val="00CE35D2"/>
    <w:rsid w:val="00D33AD4"/>
    <w:rsid w:val="00D35993"/>
    <w:rsid w:val="00D44734"/>
    <w:rsid w:val="00D51140"/>
    <w:rsid w:val="00D70D04"/>
    <w:rsid w:val="00D756CB"/>
    <w:rsid w:val="00D92FF3"/>
    <w:rsid w:val="00DA578C"/>
    <w:rsid w:val="00DB30C4"/>
    <w:rsid w:val="00DB7EED"/>
    <w:rsid w:val="00DC17B5"/>
    <w:rsid w:val="00DD65D9"/>
    <w:rsid w:val="00E00D75"/>
    <w:rsid w:val="00E1292E"/>
    <w:rsid w:val="00E139BE"/>
    <w:rsid w:val="00E2060D"/>
    <w:rsid w:val="00E23FFE"/>
    <w:rsid w:val="00E309CF"/>
    <w:rsid w:val="00E60D41"/>
    <w:rsid w:val="00E617FC"/>
    <w:rsid w:val="00E63010"/>
    <w:rsid w:val="00E67984"/>
    <w:rsid w:val="00E732E7"/>
    <w:rsid w:val="00E759F8"/>
    <w:rsid w:val="00ED64B9"/>
    <w:rsid w:val="00EF0ADD"/>
    <w:rsid w:val="00EF17BC"/>
    <w:rsid w:val="00EF1AAC"/>
    <w:rsid w:val="00F00658"/>
    <w:rsid w:val="00F00FF9"/>
    <w:rsid w:val="00F0159D"/>
    <w:rsid w:val="00F122AD"/>
    <w:rsid w:val="00F33DE2"/>
    <w:rsid w:val="00F36914"/>
    <w:rsid w:val="00F60298"/>
    <w:rsid w:val="00F60A24"/>
    <w:rsid w:val="00F764DE"/>
    <w:rsid w:val="00F85B08"/>
    <w:rsid w:val="00FA0909"/>
    <w:rsid w:val="00FA62DB"/>
    <w:rsid w:val="00FB3BFF"/>
    <w:rsid w:val="00FB573B"/>
    <w:rsid w:val="00FD7487"/>
    <w:rsid w:val="00FE6314"/>
    <w:rsid w:val="00FE7E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9B"/>
    <w:rPr>
      <w:sz w:val="24"/>
      <w:szCs w:val="24"/>
    </w:rPr>
  </w:style>
  <w:style w:type="paragraph" w:styleId="Heading3">
    <w:name w:val="heading 3"/>
    <w:basedOn w:val="Normal"/>
    <w:next w:val="Normal"/>
    <w:link w:val="Heading3Char"/>
    <w:uiPriority w:val="99"/>
    <w:qFormat/>
    <w:rsid w:val="00100F9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F17BC"/>
    <w:rPr>
      <w:rFonts w:ascii="Cambria" w:hAnsi="Cambria" w:cs="Times New Roman"/>
      <w:b/>
      <w:bCs/>
      <w:sz w:val="26"/>
      <w:szCs w:val="26"/>
    </w:rPr>
  </w:style>
  <w:style w:type="paragraph" w:customStyle="1" w:styleId="Titulot">
    <w:name w:val="Titulo t"/>
    <w:basedOn w:val="BodyText"/>
    <w:autoRedefine/>
    <w:uiPriority w:val="99"/>
    <w:rsid w:val="00100F9B"/>
    <w:pPr>
      <w:shd w:val="clear" w:color="auto" w:fill="3366FF"/>
      <w:spacing w:after="0"/>
      <w:ind w:right="2798"/>
      <w:jc w:val="both"/>
    </w:pPr>
    <w:rPr>
      <w:rFonts w:ascii="Arial" w:hAnsi="Arial"/>
      <w:b/>
      <w:i/>
      <w:color w:val="FFFF99"/>
      <w:sz w:val="20"/>
      <w:szCs w:val="20"/>
    </w:rPr>
  </w:style>
  <w:style w:type="paragraph" w:styleId="Header">
    <w:name w:val="header"/>
    <w:basedOn w:val="Normal"/>
    <w:link w:val="HeaderChar"/>
    <w:uiPriority w:val="99"/>
    <w:rsid w:val="00100F9B"/>
    <w:pPr>
      <w:tabs>
        <w:tab w:val="center" w:pos="4252"/>
        <w:tab w:val="right" w:pos="8504"/>
      </w:tabs>
    </w:pPr>
  </w:style>
  <w:style w:type="character" w:customStyle="1" w:styleId="HeaderChar">
    <w:name w:val="Header Char"/>
    <w:basedOn w:val="DefaultParagraphFont"/>
    <w:link w:val="Header"/>
    <w:uiPriority w:val="99"/>
    <w:locked/>
    <w:rsid w:val="00100F9B"/>
    <w:rPr>
      <w:rFonts w:cs="Times New Roman"/>
      <w:sz w:val="24"/>
      <w:szCs w:val="24"/>
      <w:lang w:val="es-ES" w:eastAsia="es-ES" w:bidi="ar-SA"/>
    </w:rPr>
  </w:style>
  <w:style w:type="paragraph" w:styleId="Footer">
    <w:name w:val="footer"/>
    <w:basedOn w:val="Normal"/>
    <w:link w:val="FooterChar"/>
    <w:uiPriority w:val="99"/>
    <w:rsid w:val="00100F9B"/>
    <w:pPr>
      <w:tabs>
        <w:tab w:val="center" w:pos="4252"/>
        <w:tab w:val="right" w:pos="8504"/>
      </w:tabs>
    </w:pPr>
  </w:style>
  <w:style w:type="character" w:customStyle="1" w:styleId="FooterChar">
    <w:name w:val="Footer Char"/>
    <w:basedOn w:val="DefaultParagraphFont"/>
    <w:link w:val="Footer"/>
    <w:uiPriority w:val="99"/>
    <w:locked/>
    <w:rsid w:val="00100F9B"/>
    <w:rPr>
      <w:rFonts w:cs="Times New Roman"/>
      <w:sz w:val="24"/>
      <w:szCs w:val="24"/>
      <w:lang w:val="es-ES" w:eastAsia="es-ES" w:bidi="ar-SA"/>
    </w:rPr>
  </w:style>
  <w:style w:type="character" w:styleId="PageNumber">
    <w:name w:val="page number"/>
    <w:basedOn w:val="DefaultParagraphFont"/>
    <w:uiPriority w:val="99"/>
    <w:rsid w:val="00100F9B"/>
    <w:rPr>
      <w:rFonts w:cs="Times New Roman"/>
    </w:rPr>
  </w:style>
  <w:style w:type="character" w:styleId="Hyperlink">
    <w:name w:val="Hyperlink"/>
    <w:basedOn w:val="DefaultParagraphFont"/>
    <w:uiPriority w:val="99"/>
    <w:rsid w:val="00100F9B"/>
    <w:rPr>
      <w:rFonts w:cs="Times New Roman"/>
      <w:color w:val="000066"/>
      <w:sz w:val="18"/>
      <w:szCs w:val="18"/>
      <w:u w:val="none"/>
      <w:effect w:val="none"/>
    </w:rPr>
  </w:style>
  <w:style w:type="paragraph" w:customStyle="1" w:styleId="Titulot11">
    <w:name w:val="Titulo t11"/>
    <w:basedOn w:val="Heading3"/>
    <w:uiPriority w:val="99"/>
    <w:rsid w:val="00100F9B"/>
    <w:pPr>
      <w:spacing w:before="0" w:after="0"/>
    </w:pPr>
    <w:rPr>
      <w:sz w:val="20"/>
      <w:szCs w:val="20"/>
    </w:rPr>
  </w:style>
  <w:style w:type="paragraph" w:customStyle="1" w:styleId="TDC111">
    <w:name w:val="TDC111"/>
    <w:basedOn w:val="Normal"/>
    <w:uiPriority w:val="99"/>
    <w:rsid w:val="00100F9B"/>
    <w:pPr>
      <w:tabs>
        <w:tab w:val="right" w:leader="dot" w:pos="6663"/>
      </w:tabs>
      <w:ind w:left="2124" w:right="2798"/>
      <w:jc w:val="both"/>
    </w:pPr>
    <w:rPr>
      <w:rFonts w:ascii="Arial" w:hAnsi="Arial" w:cs="Arial"/>
      <w:i/>
      <w:iCs/>
      <w:noProof/>
      <w:sz w:val="18"/>
      <w:szCs w:val="18"/>
      <w:lang w:val="es-ES_tradnl"/>
    </w:rPr>
  </w:style>
  <w:style w:type="paragraph" w:styleId="BodyText">
    <w:name w:val="Body Text"/>
    <w:basedOn w:val="Normal"/>
    <w:link w:val="BodyTextChar"/>
    <w:uiPriority w:val="99"/>
    <w:rsid w:val="00100F9B"/>
    <w:pPr>
      <w:spacing w:after="120"/>
    </w:pPr>
  </w:style>
  <w:style w:type="character" w:customStyle="1" w:styleId="BodyTextChar">
    <w:name w:val="Body Text Char"/>
    <w:basedOn w:val="DefaultParagraphFont"/>
    <w:link w:val="BodyText"/>
    <w:uiPriority w:val="99"/>
    <w:semiHidden/>
    <w:locked/>
    <w:rsid w:val="00EF17BC"/>
    <w:rPr>
      <w:rFonts w:cs="Times New Roman"/>
      <w:sz w:val="24"/>
      <w:szCs w:val="24"/>
    </w:rPr>
  </w:style>
  <w:style w:type="character" w:customStyle="1" w:styleId="apple-converted-space">
    <w:name w:val="apple-converted-space"/>
    <w:basedOn w:val="DefaultParagraphFont"/>
    <w:uiPriority w:val="99"/>
    <w:rsid w:val="00FA09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gruposoil.com" TargetMode="External"/><Relationship Id="rId12" Type="http://schemas.openxmlformats.org/officeDocument/2006/relationships/hyperlink" Target="http://www.cedefop.europa.eu/EN/publications/21952.aspx?wt.mc_id=PR20131029-ES&amp;utm_campaign=PR20131029-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4</Pages>
  <Words>1560</Words>
  <Characters>8582</Characters>
  <Application>Microsoft Office Outlook</Application>
  <DocSecurity>0</DocSecurity>
  <Lines>0</Lines>
  <Paragraphs>0</Paragraphs>
  <ScaleCrop>false</ScaleCrop>
  <Company>Grupo Soil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vanesa.ruizgimenez</dc:creator>
  <cp:keywords/>
  <dc:description/>
  <cp:lastModifiedBy>vanesa.ruizgimenez</cp:lastModifiedBy>
  <cp:revision>5</cp:revision>
  <dcterms:created xsi:type="dcterms:W3CDTF">2013-10-30T17:07:00Z</dcterms:created>
  <dcterms:modified xsi:type="dcterms:W3CDTF">2013-10-31T13:08:00Z</dcterms:modified>
</cp:coreProperties>
</file>